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CE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公共管理学院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2025年度</w:t>
      </w:r>
    </w:p>
    <w:p w14:paraId="5E1202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lang w:eastAsia="zh-CN"/>
        </w:rPr>
      </w:pPr>
      <w:r>
        <w:rPr>
          <w:rFonts w:hint="eastAsia" w:ascii="黑体" w:hAnsi="黑体" w:eastAsia="黑体" w:cs="黑体"/>
          <w:sz w:val="44"/>
          <w:lang w:val="en-US" w:eastAsia="zh-CN"/>
        </w:rPr>
        <w:t>学</w:t>
      </w:r>
      <w:r>
        <w:rPr>
          <w:rFonts w:hint="eastAsia" w:ascii="黑体" w:hAnsi="黑体" w:eastAsia="黑体" w:cs="黑体"/>
          <w:sz w:val="44"/>
        </w:rPr>
        <w:t>术型硕士</w:t>
      </w:r>
      <w:r>
        <w:rPr>
          <w:rFonts w:hint="eastAsia" w:ascii="黑体" w:hAnsi="黑体" w:eastAsia="黑体" w:cs="黑体"/>
          <w:sz w:val="44"/>
          <w:lang w:eastAsia="zh-CN"/>
        </w:rPr>
        <w:t>研究生</w:t>
      </w:r>
      <w:r>
        <w:rPr>
          <w:rFonts w:hint="eastAsia" w:ascii="黑体" w:hAnsi="黑体" w:eastAsia="黑体" w:cs="黑体"/>
          <w:sz w:val="44"/>
        </w:rPr>
        <w:t>导师资格审</w:t>
      </w:r>
      <w:r>
        <w:rPr>
          <w:rFonts w:hint="eastAsia" w:ascii="黑体" w:hAnsi="黑体" w:eastAsia="黑体" w:cs="黑体"/>
          <w:sz w:val="44"/>
          <w:lang w:eastAsia="zh-CN"/>
        </w:rPr>
        <w:t>核</w:t>
      </w:r>
      <w:r>
        <w:rPr>
          <w:rFonts w:hint="eastAsia" w:ascii="黑体" w:hAnsi="黑体" w:eastAsia="黑体" w:cs="黑体"/>
          <w:color w:val="auto"/>
          <w:sz w:val="44"/>
          <w:lang w:eastAsia="zh-CN"/>
        </w:rPr>
        <w:t>办法</w:t>
      </w:r>
    </w:p>
    <w:p w14:paraId="3C6A71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color w:val="auto"/>
          <w:sz w:val="44"/>
        </w:rPr>
      </w:pPr>
    </w:p>
    <w:p w14:paraId="6D86B5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院学术型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硕士研究生导师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（以下简称“硕导”）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队伍建设及岗位管理，保障硕士研究生培养质量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根据学校相关文件精神，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结合我院学科建设与发展实际，特制定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2C50B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第一条  基本原则</w:t>
      </w:r>
    </w:p>
    <w:p w14:paraId="1BCD83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1.有利于学院学科建设发展和结构调整，有利于培养推动国家发展所需要的高层次人才。</w:t>
      </w:r>
    </w:p>
    <w:p w14:paraId="4DD491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2.坚持学术标准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坚持学术道德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宁缺勿滥。</w:t>
      </w:r>
    </w:p>
    <w:p w14:paraId="64F321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3.有利于改善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队伍的年龄结构、知识结构和学历结构。</w:t>
      </w:r>
    </w:p>
    <w:p w14:paraId="204C8E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第二条  资格审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核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期限</w:t>
      </w:r>
    </w:p>
    <w:p w14:paraId="6AD957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成果范围为申请之日算起的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的学术成果。</w:t>
      </w:r>
    </w:p>
    <w:p w14:paraId="06F61F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第三条  基本条件</w:t>
      </w:r>
    </w:p>
    <w:p w14:paraId="57A07D8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1.坚持以习近平新时代中国特色社会主义思想为指导，拥护中国共产党的领导，贯彻党的教育方针。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硕导</w:t>
      </w:r>
      <w:r>
        <w:rPr>
          <w:rFonts w:hint="eastAsia" w:ascii="仿宋_GB2312" w:eastAsia="仿宋_GB2312"/>
          <w:sz w:val="32"/>
          <w:szCs w:val="32"/>
          <w:highlight w:val="none"/>
        </w:rPr>
        <w:t>作为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  <w:highlight w:val="none"/>
        </w:rPr>
        <w:t>研究生培养的第一责任人，肩负着为党育人、为国育才的重要使命，具备对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  <w:highlight w:val="none"/>
        </w:rPr>
        <w:t>研究生进行思想政治教育、学术规范训练、创新能力培养、社会实践引导等基本导师能力。</w:t>
      </w:r>
    </w:p>
    <w:p w14:paraId="2F5282A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2.近三年指导的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  <w:highlight w:val="none"/>
        </w:rPr>
        <w:t>研究生学位论文未出现质量问题，未出现教学、科研、意识形态等方面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lang w:val="en-US" w:eastAsia="zh-CN"/>
        </w:rPr>
        <w:t>问题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</w:rPr>
        <w:t>。</w:t>
      </w:r>
    </w:p>
    <w:p w14:paraId="0FE6DC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2028年7月1日前退休的教师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，除《导师管理办法》中规定可适当放宽年龄要求者，不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参加本次年审。</w:t>
      </w:r>
    </w:p>
    <w:p w14:paraId="7F90D60A">
      <w:pPr>
        <w:pStyle w:val="2"/>
        <w:spacing w:line="360" w:lineRule="auto"/>
        <w:jc w:val="left"/>
        <w:rPr>
          <w:rFonts w:hint="eastAsia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近一年引进的校内教师及首次申请的校外专家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外，硕导申请人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提交成果的第一单位须为贵州大学。</w:t>
      </w:r>
    </w:p>
    <w:p w14:paraId="6E7DC7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具有副高级及以上专业技术职称</w:t>
      </w:r>
      <w:r>
        <w:rPr>
          <w:rFonts w:hint="eastAsia" w:ascii="仿宋_GB2312" w:eastAsia="仿宋_GB2312"/>
          <w:sz w:val="32"/>
          <w:szCs w:val="32"/>
          <w:highlight w:val="none"/>
        </w:rPr>
        <w:t>（包括一流学科特岗人才、享受校聘副教授待遇不超过3年（含）的教师）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 w14:paraId="4CDF78A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本校申请人员需具有高校教师资格证/岗前培训合格证（特岗教师除外）。</w:t>
      </w:r>
    </w:p>
    <w:p w14:paraId="5614D3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能认真履行导师职责，一般应有协助培养硕士研究生的经历。本校教师在校内工作时间年均不少于8个月，兼职导师在贵州大学工作时间年均累计不少于1个月。</w:t>
      </w:r>
    </w:p>
    <w:p w14:paraId="59C685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具有坚实的理论基础和系统的专门知识，有较丰富的科研工作经验和一定的学术造诣，熟悉本学科/专业前沿领域的发展趋势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，能较好地进行国际学术交流。</w:t>
      </w:r>
    </w:p>
    <w:p w14:paraId="35A733E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第四条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申请资格条件</w:t>
      </w:r>
    </w:p>
    <w:p w14:paraId="12F64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年内，取得与申请学科相关的研究成果达到下列条件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在1个一级学科硕士授权点下的不超过1个二级学科/方向申请硕导岗位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：以第一作者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或第一通讯作者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发表与申报学科密切相关的中文核心期刊论文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至少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SCD论文2篇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，并主持校级以上科研项目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1项或横向课题（横向课题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科研经费达3.0万元/项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</w:p>
    <w:p w14:paraId="55E9B3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eastAsia="仿宋_GB2312"/>
          <w:sz w:val="32"/>
          <w:szCs w:val="32"/>
          <w:highlight w:val="none"/>
        </w:rPr>
        <w:t>近三年，满足以下条件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之一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导师，</w:t>
      </w:r>
      <w:r>
        <w:rPr>
          <w:rFonts w:ascii="仿宋_GB2312" w:eastAsia="仿宋_GB2312"/>
          <w:sz w:val="32"/>
          <w:szCs w:val="32"/>
          <w:highlight w:val="none"/>
        </w:rPr>
        <w:t>可在1个一级学科硕士授权点下的2个二级学科</w:t>
      </w:r>
      <w:r>
        <w:rPr>
          <w:rFonts w:hint="eastAsia" w:ascii="仿宋_GB2312" w:eastAsia="仿宋_GB2312"/>
          <w:sz w:val="32"/>
          <w:szCs w:val="32"/>
          <w:highlight w:val="none"/>
        </w:rPr>
        <w:t>/方向</w:t>
      </w:r>
      <w:r>
        <w:rPr>
          <w:rFonts w:ascii="仿宋_GB2312" w:eastAsia="仿宋_GB2312"/>
          <w:sz w:val="32"/>
          <w:szCs w:val="32"/>
          <w:highlight w:val="none"/>
        </w:rPr>
        <w:t>申请硕导岗位：</w:t>
      </w:r>
    </w:p>
    <w:p w14:paraId="2E6B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（1）近三年，第一作者或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通讯作者发表SCI二区及以上、C刊（不含扩展版）、SSCI论文，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或以共同第一作者/通讯作者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发表CNS和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中国社会科学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论文；</w:t>
      </w:r>
    </w:p>
    <w:p w14:paraId="67E3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（2）主持在研国家自科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社科基金及以上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档次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3DC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条  审核程序</w:t>
      </w:r>
    </w:p>
    <w:p w14:paraId="5C0FA3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1.个人申请。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2025年6月9日前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登陆贵州大学研究生管理信息系统（http://gsgl.gzu.edu.cn/）填报导师年审申请，并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于2025年6月9日17：00前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提交2025年度硕士研究生导师申请审核表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纸质版和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相关支撑材料至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生科（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雅正楼429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保存备查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，并将附件一、附件二电子版发至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526202490@qq.com。</w:t>
      </w:r>
    </w:p>
    <w:p w14:paraId="6A14BB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2.学科评审。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院学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对申请人进行资格和水平评审。采取无记名投票的方式表决，赞成票超过三分之二视为通过。经公示后，报校学位评定委员会办公室（以下简称校学位办）备案并公布。</w:t>
      </w:r>
    </w:p>
    <w:p w14:paraId="7E9FD5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条  监督</w:t>
      </w:r>
    </w:p>
    <w:p w14:paraId="08B395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1.在导师资格审查和投票环节，一律不参与涉及本人或其亲属的评议工作。评审中个人或集体提出的申诉和异议，由校学位办仲裁。</w:t>
      </w:r>
    </w:p>
    <w:p w14:paraId="0646D4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2.如果有充分证据证明导师在聘期内有违反学术道德、违反师德师风行为的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、申请过程中提供虚假信息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，经院学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委员会投票，并经学院党政联席会议讨论通过，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取消其导师资格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年内不得申请，其所带研究生重新选择导师。此条同样适用于外聘导师。</w:t>
      </w:r>
    </w:p>
    <w:p w14:paraId="0B195F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条  校内及校外兼职硕士生导师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年审</w:t>
      </w:r>
    </w:p>
    <w:p w14:paraId="0A57C1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1.根据培养硕士生和学科建设的实际需要，确有必要时，与我校有稳定合作关系，能积极履行参与我校学科建设的义务并作出贡献，且符合本办法第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条的外单位专家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也可以申请参加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兼职硕士生导师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700DA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2.申请兼职硕士生导师由本人向我院提出申请，经资格审查，按本办法第三条、第四条规定的条件和程序进行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E0EA5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3.兼职硕士生导师要明确培养责任和权益，落实课题经费及培养经费，以保证硕士生培养工作的顺利进行。</w:t>
      </w:r>
    </w:p>
    <w:p w14:paraId="4BDCFA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条  附则</w:t>
      </w:r>
    </w:p>
    <w:p w14:paraId="3163B6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.其他不明事宜，解释权属公共管理学院。</w:t>
      </w:r>
    </w:p>
    <w:p w14:paraId="5D2CDC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从公布之日起生效。</w:t>
      </w:r>
    </w:p>
    <w:p w14:paraId="63604D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</w:t>
      </w:r>
    </w:p>
    <w:p w14:paraId="4C1352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 w14:paraId="21B577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DD537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贵州大学公共管理学院</w:t>
      </w:r>
    </w:p>
    <w:p w14:paraId="46E912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378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2E34012"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sectPr>
      <w:pgSz w:w="11906" w:h="16838"/>
      <w:pgMar w:top="2098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GZlNjBlZWU5YzZmYzVjOTA3NmRkYWZmZjAzMTEifQ=="/>
  </w:docVars>
  <w:rsids>
    <w:rsidRoot w:val="1FEC0305"/>
    <w:rsid w:val="004C3E81"/>
    <w:rsid w:val="03847539"/>
    <w:rsid w:val="049662E6"/>
    <w:rsid w:val="0D906017"/>
    <w:rsid w:val="0FA4482A"/>
    <w:rsid w:val="1EFF3042"/>
    <w:rsid w:val="1FEC0305"/>
    <w:rsid w:val="2A436814"/>
    <w:rsid w:val="2B6B6580"/>
    <w:rsid w:val="2FD15733"/>
    <w:rsid w:val="3039163C"/>
    <w:rsid w:val="30DA7367"/>
    <w:rsid w:val="36F31241"/>
    <w:rsid w:val="3D576F05"/>
    <w:rsid w:val="47FB3307"/>
    <w:rsid w:val="4D1920E1"/>
    <w:rsid w:val="534933E9"/>
    <w:rsid w:val="539354E6"/>
    <w:rsid w:val="58733F74"/>
    <w:rsid w:val="63606F66"/>
    <w:rsid w:val="6DD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1646</Words>
  <Characters>1739</Characters>
  <Lines>0</Lines>
  <Paragraphs>0</Paragraphs>
  <TotalTime>19</TotalTime>
  <ScaleCrop>false</ScaleCrop>
  <LinksUpToDate>false</LinksUpToDate>
  <CharactersWithSpaces>1824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2024-04-18T08:19:00Z</dcterms:created>
  <dc:creator>何昕</dc:creator>
  <cp:lastModifiedBy>何昕</cp:lastModifiedBy>
  <cp:lastPrinted>2025-06-05T01:01:39Z</cp:lastPrinted>
  <dcterms:modified xsi:type="dcterms:W3CDTF">2025-06-05T01:05:32Z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1BE23F52234048CFAEE815725AE00526_13</vt:lpwstr>
  </property>
  <property fmtid="{D5CDD505-2E9C-101B-9397-08002B2CF9AE}" pid="4" name="KSOTemplateDocerSaveRecord">
    <vt:lpwstr>eyJoZGlkIjoiOTEyY2Q0YTdlOWU2Y2NkNWZjYTgwZDY2ZmJkM2EyMzUiLCJ1c2VySWQiOiI2MTM1MDU5ODkifQ==</vt:lpwstr>
  </property>
</Properties>
</file>