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8CB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kern w:val="0"/>
          <w:sz w:val="44"/>
          <w:szCs w:val="44"/>
          <w:highlight w:val="none"/>
          <w:lang w:val="en-US" w:eastAsia="zh-CN" w:bidi="ar"/>
        </w:rPr>
      </w:pPr>
      <w:r>
        <w:rPr>
          <w:rFonts w:ascii="微软雅黑" w:hAnsi="微软雅黑" w:eastAsia="微软雅黑" w:cs="微软雅黑"/>
          <w:color w:val="000000"/>
          <w:kern w:val="0"/>
          <w:sz w:val="44"/>
          <w:szCs w:val="44"/>
          <w:highlight w:val="none"/>
          <w:lang w:val="en-US" w:eastAsia="zh-CN" w:bidi="ar"/>
        </w:rPr>
        <w:t>公共管理学院</w:t>
      </w:r>
      <w:r>
        <w:rPr>
          <w:rFonts w:hint="eastAsia" w:ascii="微软雅黑" w:hAnsi="微软雅黑" w:eastAsia="微软雅黑" w:cs="微软雅黑"/>
          <w:color w:val="000000"/>
          <w:kern w:val="0"/>
          <w:sz w:val="44"/>
          <w:szCs w:val="44"/>
          <w:highlight w:val="none"/>
          <w:lang w:val="en-US" w:eastAsia="zh-CN" w:bidi="ar"/>
        </w:rPr>
        <w:t>2025年度</w:t>
      </w:r>
    </w:p>
    <w:p w14:paraId="1CEB7393">
      <w:pPr>
        <w:keepNext w:val="0"/>
        <w:keepLines w:val="0"/>
        <w:pageBreakBefore w:val="0"/>
        <w:widowControl/>
        <w:suppressLineNumbers w:val="0"/>
        <w:kinsoku/>
        <w:wordWrap/>
        <w:overflowPunct/>
        <w:topLinePunct w:val="0"/>
        <w:autoSpaceDE/>
        <w:autoSpaceDN/>
        <w:bidi w:val="0"/>
        <w:adjustRightInd/>
        <w:snapToGrid/>
        <w:jc w:val="center"/>
        <w:textAlignment w:val="auto"/>
        <w:rPr>
          <w:highlight w:val="none"/>
        </w:rPr>
      </w:pPr>
      <w:r>
        <w:rPr>
          <w:rFonts w:ascii="微软雅黑" w:hAnsi="微软雅黑" w:eastAsia="微软雅黑" w:cs="微软雅黑"/>
          <w:color w:val="000000"/>
          <w:kern w:val="0"/>
          <w:sz w:val="44"/>
          <w:szCs w:val="44"/>
          <w:highlight w:val="none"/>
          <w:lang w:val="en-US" w:eastAsia="zh-CN" w:bidi="ar"/>
        </w:rPr>
        <w:t>社会工作专业硕士生导</w:t>
      </w:r>
      <w:r>
        <w:rPr>
          <w:rFonts w:hint="eastAsia" w:ascii="微软雅黑" w:hAnsi="微软雅黑" w:eastAsia="微软雅黑" w:cs="微软雅黑"/>
          <w:color w:val="000000"/>
          <w:kern w:val="0"/>
          <w:sz w:val="44"/>
          <w:szCs w:val="44"/>
          <w:highlight w:val="none"/>
          <w:lang w:val="en-US" w:eastAsia="zh-CN" w:bidi="ar"/>
        </w:rPr>
        <w:t>师资格审查办法</w:t>
      </w:r>
    </w:p>
    <w:p w14:paraId="136E655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lang w:eastAsia="zh-CN"/>
        </w:rPr>
        <w:t>为更好地执行学校</w:t>
      </w:r>
      <w:r>
        <w:rPr>
          <w:rFonts w:hint="eastAsia" w:ascii="仿宋_GB2312" w:hAnsi="仿宋_GB2312" w:eastAsia="仿宋_GB2312" w:cs="仿宋_GB2312"/>
          <w:color w:val="auto"/>
          <w:sz w:val="32"/>
          <w:szCs w:val="32"/>
          <w:highlight w:val="none"/>
          <w:lang w:val="en-US" w:eastAsia="zh-CN"/>
        </w:rPr>
        <w:t>专业型</w:t>
      </w:r>
      <w:r>
        <w:rPr>
          <w:rFonts w:hint="eastAsia" w:ascii="仿宋_GB2312" w:hAnsi="仿宋_GB2312" w:eastAsia="仿宋_GB2312" w:cs="仿宋_GB2312"/>
          <w:color w:val="auto"/>
          <w:sz w:val="32"/>
          <w:szCs w:val="32"/>
          <w:highlight w:val="none"/>
          <w:lang w:eastAsia="zh-CN"/>
        </w:rPr>
        <w:t>研究</w:t>
      </w:r>
      <w:r>
        <w:rPr>
          <w:rFonts w:hint="eastAsia" w:ascii="仿宋_GB2312" w:hAnsi="仿宋_GB2312" w:eastAsia="仿宋_GB2312" w:cs="仿宋_GB2312"/>
          <w:color w:val="auto"/>
          <w:sz w:val="32"/>
          <w:szCs w:val="32"/>
          <w:highlight w:val="none"/>
          <w:lang w:val="en-US" w:eastAsia="zh-CN"/>
        </w:rPr>
        <w:t>生</w:t>
      </w:r>
      <w:r>
        <w:rPr>
          <w:rFonts w:hint="eastAsia" w:ascii="仿宋_GB2312" w:hAnsi="仿宋_GB2312" w:eastAsia="仿宋_GB2312" w:cs="仿宋_GB2312"/>
          <w:color w:val="auto"/>
          <w:sz w:val="32"/>
          <w:szCs w:val="32"/>
          <w:highlight w:val="none"/>
          <w:lang w:eastAsia="zh-CN"/>
        </w:rPr>
        <w:t>导师</w:t>
      </w:r>
      <w:r>
        <w:rPr>
          <w:rFonts w:hint="eastAsia" w:ascii="仿宋_GB2312" w:hAnsi="仿宋_GB2312" w:eastAsia="仿宋_GB2312" w:cs="仿宋_GB2312"/>
          <w:color w:val="auto"/>
          <w:sz w:val="32"/>
          <w:szCs w:val="32"/>
          <w:highlight w:val="none"/>
          <w:lang w:val="en-US" w:eastAsia="zh-CN"/>
        </w:rPr>
        <w:t>招生</w:t>
      </w:r>
      <w:r>
        <w:rPr>
          <w:rFonts w:hint="eastAsia" w:ascii="仿宋_GB2312" w:hAnsi="仿宋_GB2312" w:eastAsia="仿宋_GB2312" w:cs="仿宋_GB2312"/>
          <w:color w:val="auto"/>
          <w:sz w:val="32"/>
          <w:szCs w:val="32"/>
          <w:highlight w:val="none"/>
          <w:lang w:eastAsia="zh-CN"/>
        </w:rPr>
        <w:t>资格年审制度，根据学校相关文件精神，</w:t>
      </w:r>
      <w:r>
        <w:rPr>
          <w:rFonts w:hint="eastAsia" w:ascii="仿宋_GB2312" w:hAnsi="仿宋_GB2312" w:eastAsia="仿宋_GB2312" w:cs="仿宋_GB2312"/>
          <w:color w:val="auto"/>
          <w:sz w:val="32"/>
          <w:szCs w:val="32"/>
          <w:highlight w:val="none"/>
        </w:rPr>
        <w:t>结合我院学科建设与发展实际，特制定</w:t>
      </w:r>
      <w:r>
        <w:rPr>
          <w:rFonts w:hint="eastAsia" w:ascii="仿宋_GB2312" w:hAnsi="仿宋_GB2312" w:eastAsia="仿宋_GB2312" w:cs="仿宋_GB2312"/>
          <w:color w:val="auto"/>
          <w:sz w:val="32"/>
          <w:szCs w:val="32"/>
          <w:highlight w:val="none"/>
          <w:lang w:eastAsia="zh-CN"/>
        </w:rPr>
        <w:t>本办法</w:t>
      </w:r>
      <w:r>
        <w:rPr>
          <w:rFonts w:hint="eastAsia" w:ascii="仿宋_GB2312" w:hAnsi="仿宋_GB2312" w:eastAsia="仿宋_GB2312" w:cs="仿宋_GB2312"/>
          <w:color w:val="auto"/>
          <w:sz w:val="32"/>
          <w:szCs w:val="32"/>
          <w:highlight w:val="none"/>
          <w:lang w:val="en-US" w:eastAsia="zh-CN"/>
        </w:rPr>
        <w:t>。</w:t>
      </w:r>
    </w:p>
    <w:p w14:paraId="48260461">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color w:val="auto"/>
          <w:sz w:val="32"/>
          <w:szCs w:val="32"/>
          <w:highlight w:val="none"/>
        </w:rPr>
        <w:t>第一条  基本原则</w:t>
      </w:r>
    </w:p>
    <w:p w14:paraId="172761F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1.有利于学院学科建设发展和结构调整，有利于培养推动国家发展所需要的高层次人才。</w:t>
      </w:r>
    </w:p>
    <w:p w14:paraId="3B8075F6">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2.坚持学术标准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坚持学术道德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宁缺勿滥。</w:t>
      </w:r>
    </w:p>
    <w:p w14:paraId="50DA6832">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3.有利于改善硕士生导师队伍的年龄结构、知识结构和学历结构。</w:t>
      </w:r>
    </w:p>
    <w:p w14:paraId="69FE0E15">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第二条  资格审查期限</w:t>
      </w:r>
    </w:p>
    <w:p w14:paraId="0258348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实行年审制度，审查成果范围为申请之日算起的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年内的学术成果。</w:t>
      </w:r>
    </w:p>
    <w:p w14:paraId="169B0A6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第三条  基本条件</w:t>
      </w:r>
    </w:p>
    <w:p w14:paraId="4F7E0B75">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1.坚持以习近平新时代中国特色社会主义思想为指导，拥护中国共产党的领导，贯彻党的教育方针。</w:t>
      </w:r>
      <w:r>
        <w:rPr>
          <w:rFonts w:hint="eastAsia" w:ascii="仿宋_GB2312" w:eastAsia="仿宋_GB2312"/>
          <w:sz w:val="32"/>
          <w:szCs w:val="32"/>
          <w:highlight w:val="none"/>
          <w:lang w:eastAsia="zh-CN"/>
        </w:rPr>
        <w:t>硕导</w:t>
      </w:r>
      <w:r>
        <w:rPr>
          <w:rFonts w:hint="eastAsia" w:ascii="仿宋_GB2312" w:eastAsia="仿宋_GB2312"/>
          <w:sz w:val="32"/>
          <w:szCs w:val="32"/>
          <w:highlight w:val="none"/>
        </w:rPr>
        <w:t>作为</w:t>
      </w:r>
      <w:r>
        <w:rPr>
          <w:rFonts w:hint="eastAsia" w:ascii="仿宋_GB2312" w:eastAsia="仿宋_GB2312"/>
          <w:sz w:val="32"/>
          <w:szCs w:val="32"/>
          <w:highlight w:val="none"/>
          <w:lang w:eastAsia="zh-CN"/>
        </w:rPr>
        <w:t>硕士</w:t>
      </w:r>
      <w:r>
        <w:rPr>
          <w:rFonts w:hint="eastAsia" w:ascii="仿宋_GB2312" w:eastAsia="仿宋_GB2312"/>
          <w:sz w:val="32"/>
          <w:szCs w:val="32"/>
          <w:highlight w:val="none"/>
        </w:rPr>
        <w:t>研究生培养的第一责任人，肩负着为党育人、为国育才的重要使命，具备对</w:t>
      </w:r>
      <w:r>
        <w:rPr>
          <w:rFonts w:hint="eastAsia" w:ascii="仿宋_GB2312" w:eastAsia="仿宋_GB2312"/>
          <w:sz w:val="32"/>
          <w:szCs w:val="32"/>
          <w:highlight w:val="none"/>
          <w:lang w:eastAsia="zh-CN"/>
        </w:rPr>
        <w:t>硕士</w:t>
      </w:r>
      <w:r>
        <w:rPr>
          <w:rFonts w:hint="eastAsia" w:ascii="仿宋_GB2312" w:eastAsia="仿宋_GB2312"/>
          <w:sz w:val="32"/>
          <w:szCs w:val="32"/>
          <w:highlight w:val="none"/>
        </w:rPr>
        <w:t>研究生进行思想政治教育、学术规范训练、创新能力培养、社会实践引导等基本导师能力。</w:t>
      </w:r>
    </w:p>
    <w:p w14:paraId="567B773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2.近三年指导的</w:t>
      </w:r>
      <w:r>
        <w:rPr>
          <w:rFonts w:hint="eastAsia" w:ascii="仿宋_GB2312" w:eastAsia="仿宋_GB2312"/>
          <w:sz w:val="32"/>
          <w:szCs w:val="32"/>
          <w:highlight w:val="none"/>
          <w:lang w:val="en-US" w:eastAsia="zh-CN"/>
        </w:rPr>
        <w:t>硕士</w:t>
      </w:r>
      <w:r>
        <w:rPr>
          <w:rFonts w:hint="eastAsia" w:ascii="仿宋_GB2312" w:eastAsia="仿宋_GB2312"/>
          <w:sz w:val="32"/>
          <w:szCs w:val="32"/>
          <w:highlight w:val="none"/>
        </w:rPr>
        <w:t>研究生学位论文未出现质量问题，未出现教学、科研、意识形态等方面</w:t>
      </w:r>
      <w:r>
        <w:rPr>
          <w:rFonts w:hint="eastAsia" w:ascii="仿宋_GB2312" w:hAnsi="等线" w:eastAsia="仿宋_GB2312" w:cs="Times New Roman"/>
          <w:sz w:val="32"/>
          <w:szCs w:val="32"/>
          <w:highlight w:val="none"/>
          <w:lang w:val="en-US" w:eastAsia="zh-CN"/>
        </w:rPr>
        <w:t>问题</w:t>
      </w:r>
      <w:r>
        <w:rPr>
          <w:rFonts w:hint="eastAsia" w:ascii="仿宋_GB2312" w:hAnsi="等线" w:eastAsia="仿宋_GB2312" w:cs="Times New Roman"/>
          <w:sz w:val="32"/>
          <w:szCs w:val="32"/>
          <w:highlight w:val="none"/>
        </w:rPr>
        <w:t>。</w:t>
      </w:r>
    </w:p>
    <w:p w14:paraId="0FE6DCA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2028年7月1日前退休的教师</w:t>
      </w:r>
      <w:r>
        <w:rPr>
          <w:rFonts w:hint="eastAsia" w:ascii="仿宋_GB2312" w:hAnsi="仿宋_GB2312" w:eastAsia="仿宋_GB2312" w:cs="仿宋_GB2312"/>
          <w:color w:val="000000" w:themeColor="text1"/>
          <w:sz w:val="32"/>
          <w:szCs w:val="32"/>
          <w:highlight w:val="none"/>
          <w14:textFill>
            <w14:solidFill>
              <w14:schemeClr w14:val="tx1"/>
            </w14:solidFill>
          </w14:textFill>
        </w:rPr>
        <w:t>，除《导师管理办法》中规定可适当放宽年龄要求者，不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得</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参加本次年审。</w:t>
      </w:r>
    </w:p>
    <w:p w14:paraId="699F30F8">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近一年引进的校内教师及首次申请的校外专家</w:t>
      </w:r>
      <w:r>
        <w:rPr>
          <w:rFonts w:hint="eastAsia" w:ascii="仿宋_GB2312" w:hAnsi="仿宋_GB2312" w:eastAsia="仿宋_GB2312" w:cs="仿宋_GB2312"/>
          <w:color w:val="000000" w:themeColor="text1"/>
          <w:sz w:val="32"/>
          <w:szCs w:val="32"/>
          <w:highlight w:val="none"/>
          <w14:textFill>
            <w14:solidFill>
              <w14:schemeClr w14:val="tx1"/>
            </w14:solidFill>
          </w14:textFill>
        </w:rPr>
        <w:t>外，硕导申请人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所</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提交成果的第一单位须为贵州大学。</w:t>
      </w:r>
    </w:p>
    <w:p w14:paraId="5269BB5E">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5.本校申请人员需具有高校教师资格证/岗前培训合格证（特岗教师除外）。</w:t>
      </w:r>
    </w:p>
    <w:p w14:paraId="7AC9FE8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具有副高级及以上专业技术职称</w:t>
      </w:r>
      <w:r>
        <w:rPr>
          <w:rFonts w:hint="eastAsia" w:ascii="仿宋_GB2312" w:eastAsia="仿宋_GB2312"/>
          <w:sz w:val="32"/>
          <w:szCs w:val="32"/>
          <w:highlight w:val="none"/>
        </w:rPr>
        <w:t>（包括一流学科特岗人才、享受校聘副教授待遇不超过3年（含）的教师）</w:t>
      </w:r>
      <w:r>
        <w:rPr>
          <w:rFonts w:ascii="仿宋_GB2312" w:eastAsia="仿宋_GB2312"/>
          <w:sz w:val="32"/>
          <w:szCs w:val="32"/>
          <w:highlight w:val="none"/>
        </w:rPr>
        <w:t>。</w:t>
      </w:r>
    </w:p>
    <w:p w14:paraId="14A531A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.能认真履行导师职责，一般应有协助培养硕士研究生的经历。本校教师在校内工作时间年均不少于8个月，兼职导师在贵州大学工作时间年均累计不少于1个月。</w:t>
      </w:r>
    </w:p>
    <w:p w14:paraId="2D8BACC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在行业有重大贡献或重要影响力的行业专家，业绩成果须单独提交学位委员会分委会审议。</w:t>
      </w:r>
    </w:p>
    <w:p w14:paraId="729ADCF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eastAsia="仿宋_GB2312"/>
          <w:sz w:val="32"/>
          <w:szCs w:val="32"/>
          <w:highlight w:val="none"/>
        </w:rPr>
        <w:t>具有坚实的理论基础和系统的专门知识，有较丰富的科研工作经验和一定的学术造诣，熟悉本学科/专业前沿领域的发展趋势</w:t>
      </w:r>
      <w:r>
        <w:rPr>
          <w:rFonts w:hint="eastAsia" w:ascii="仿宋_GB2312" w:hAnsi="仿宋_GB2312" w:eastAsia="仿宋_GB2312" w:cs="仿宋_GB2312"/>
          <w:color w:val="auto"/>
          <w:sz w:val="32"/>
          <w:szCs w:val="32"/>
          <w:highlight w:val="none"/>
        </w:rPr>
        <w:t>，能较好地进行国际学术交流。</w:t>
      </w:r>
    </w:p>
    <w:p w14:paraId="6E589946">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宋体" w:eastAsia="黑体" w:cs="黑体"/>
          <w:b/>
          <w:bCs/>
          <w:color w:val="000000"/>
          <w:kern w:val="0"/>
          <w:sz w:val="32"/>
          <w:szCs w:val="32"/>
          <w:highlight w:val="none"/>
          <w:lang w:val="en-US" w:eastAsia="zh-CN" w:bidi="ar"/>
        </w:rPr>
      </w:pPr>
      <w:r>
        <w:rPr>
          <w:rFonts w:hint="eastAsia" w:ascii="黑体" w:hAnsi="宋体" w:eastAsia="黑体" w:cs="黑体"/>
          <w:b/>
          <w:bCs/>
          <w:color w:val="000000"/>
          <w:kern w:val="0"/>
          <w:sz w:val="32"/>
          <w:szCs w:val="32"/>
          <w:highlight w:val="none"/>
          <w:lang w:val="en-US" w:eastAsia="zh-CN" w:bidi="ar"/>
        </w:rPr>
        <w:t xml:space="preserve">第四条 申请资格条件 </w:t>
      </w:r>
    </w:p>
    <w:p w14:paraId="413F566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val="en-US" w:eastAsia="zh-CN"/>
        </w:rPr>
        <w:t>社会工作</w:t>
      </w:r>
      <w:r>
        <w:rPr>
          <w:rFonts w:hint="eastAsia" w:ascii="仿宋_GB2312" w:hAnsi="仿宋_GB2312" w:eastAsia="仿宋_GB2312" w:cs="仿宋_GB2312"/>
          <w:color w:val="auto"/>
          <w:sz w:val="32"/>
          <w:szCs w:val="32"/>
          <w:highlight w:val="none"/>
        </w:rPr>
        <w:t>相关专业学术背景或从事</w:t>
      </w:r>
      <w:r>
        <w:rPr>
          <w:rFonts w:hint="eastAsia" w:ascii="仿宋_GB2312" w:hAnsi="仿宋_GB2312" w:eastAsia="仿宋_GB2312" w:cs="仿宋_GB2312"/>
          <w:color w:val="auto"/>
          <w:sz w:val="32"/>
          <w:szCs w:val="32"/>
          <w:highlight w:val="none"/>
          <w:lang w:val="en-US" w:eastAsia="zh-CN"/>
        </w:rPr>
        <w:t>社会工作</w:t>
      </w:r>
      <w:r>
        <w:rPr>
          <w:rFonts w:hint="eastAsia" w:ascii="仿宋_GB2312" w:hAnsi="仿宋_GB2312" w:eastAsia="仿宋_GB2312" w:cs="仿宋_GB2312"/>
          <w:color w:val="auto"/>
          <w:sz w:val="32"/>
          <w:szCs w:val="32"/>
          <w:highlight w:val="none"/>
        </w:rPr>
        <w:t>相关研究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工作，且</w:t>
      </w:r>
      <w:r>
        <w:rPr>
          <w:rFonts w:hint="eastAsia" w:ascii="仿宋_GB2312" w:hAnsi="仿宋_GB2312" w:eastAsia="仿宋_GB2312" w:cs="仿宋_GB2312"/>
          <w:color w:val="auto"/>
          <w:sz w:val="32"/>
          <w:szCs w:val="32"/>
          <w:highlight w:val="none"/>
          <w:lang w:val="en-US" w:eastAsia="zh-CN"/>
        </w:rPr>
        <w:t>近三年内</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val="en-US" w:eastAsia="zh-CN"/>
        </w:rPr>
        <w:t>社会工作</w:t>
      </w:r>
      <w:r>
        <w:rPr>
          <w:rFonts w:hint="eastAsia" w:ascii="仿宋_GB2312" w:hAnsi="仿宋_GB2312" w:eastAsia="仿宋_GB2312" w:cs="仿宋_GB2312"/>
          <w:color w:val="auto"/>
          <w:sz w:val="32"/>
          <w:szCs w:val="32"/>
          <w:highlight w:val="none"/>
        </w:rPr>
        <w:t>领域内的学术成果符合下列条件之一：</w:t>
      </w:r>
    </w:p>
    <w:p w14:paraId="28A1755A">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000000"/>
          <w:kern w:val="0"/>
          <w:sz w:val="32"/>
          <w:szCs w:val="32"/>
          <w:highlight w:val="none"/>
          <w:lang w:val="en-US" w:eastAsia="zh-CN" w:bidi="ar"/>
        </w:rPr>
        <w:t>（1）</w:t>
      </w:r>
      <w:r>
        <w:rPr>
          <w:rFonts w:hint="eastAsia" w:ascii="仿宋_GB2312" w:hAnsi="仿宋_GB2312" w:eastAsia="仿宋_GB2312" w:cs="仿宋_GB2312"/>
          <w:color w:val="auto"/>
          <w:sz w:val="32"/>
          <w:szCs w:val="32"/>
          <w:highlight w:val="none"/>
        </w:rPr>
        <w:t>以第一作者</w:t>
      </w:r>
      <w:r>
        <w:rPr>
          <w:rFonts w:hint="eastAsia" w:ascii="仿宋_GB2312" w:hAnsi="仿宋_GB2312" w:eastAsia="仿宋_GB2312" w:cs="仿宋_GB2312"/>
          <w:color w:val="auto"/>
          <w:sz w:val="32"/>
          <w:szCs w:val="32"/>
          <w:highlight w:val="none"/>
          <w:lang w:val="en-US" w:eastAsia="zh-CN"/>
        </w:rPr>
        <w:t>公开</w:t>
      </w:r>
      <w:r>
        <w:rPr>
          <w:rFonts w:hint="eastAsia" w:ascii="仿宋_GB2312" w:hAnsi="仿宋_GB2312" w:eastAsia="仿宋_GB2312" w:cs="仿宋_GB2312"/>
          <w:color w:val="auto"/>
          <w:sz w:val="32"/>
          <w:szCs w:val="32"/>
          <w:highlight w:val="none"/>
        </w:rPr>
        <w:t>发表与</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学科密切相关的中文核心期刊论文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篇</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省级以上学术期刊2篇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主持校级以上科研项目</w:t>
      </w:r>
      <w:r>
        <w:rPr>
          <w:rFonts w:hint="eastAsia" w:ascii="仿宋_GB2312" w:hAnsi="仿宋_GB2312" w:eastAsia="仿宋_GB2312" w:cs="仿宋_GB2312"/>
          <w:color w:val="auto"/>
          <w:sz w:val="32"/>
          <w:szCs w:val="32"/>
          <w:highlight w:val="none"/>
          <w:lang w:val="en-US" w:eastAsia="zh-CN"/>
        </w:rPr>
        <w:t>1项或横向课题1项（横向课题</w:t>
      </w:r>
      <w:r>
        <w:rPr>
          <w:rFonts w:hint="eastAsia" w:ascii="仿宋_GB2312" w:hAnsi="仿宋_GB2312" w:eastAsia="仿宋_GB2312" w:cs="仿宋_GB2312"/>
          <w:color w:val="auto"/>
          <w:sz w:val="32"/>
          <w:szCs w:val="32"/>
          <w:highlight w:val="none"/>
        </w:rPr>
        <w:t>科研经费达</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万元/项</w:t>
      </w:r>
      <w:r>
        <w:rPr>
          <w:rFonts w:hint="eastAsia" w:ascii="仿宋_GB2312" w:hAnsi="仿宋_GB2312" w:eastAsia="仿宋_GB2312" w:cs="仿宋_GB2312"/>
          <w:color w:val="auto"/>
          <w:sz w:val="32"/>
          <w:szCs w:val="32"/>
          <w:highlight w:val="none"/>
          <w:lang w:val="en-US" w:eastAsia="zh-CN"/>
        </w:rPr>
        <w:t>）；</w:t>
      </w:r>
    </w:p>
    <w:p w14:paraId="0C083D9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highlight w:val="none"/>
        </w:rPr>
      </w:pPr>
    </w:p>
    <w:p w14:paraId="00A80EF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（2）在省级出版社出版与申请学科密切相关的著作/教材 1 部（独著不少于15万字；合著则本人撰写部分不少于10万字）；</w:t>
      </w:r>
    </w:p>
    <w:p w14:paraId="5D3EA76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 xml:space="preserve">（3）获得省部级三等奖以上奖励1项，本人在获奖证书有效排名内； </w:t>
      </w:r>
    </w:p>
    <w:p w14:paraId="54A4A54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 xml:space="preserve">（4）指导研究生在省级或社会工作行业具有重要影响力的比赛中获三等奖及以上等次； </w:t>
      </w:r>
    </w:p>
    <w:p w14:paraId="28D2DD0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（5）主持或主笔的调研报告获得厅级以上领导批示 1 项及以上；</w:t>
      </w:r>
    </w:p>
    <w:p w14:paraId="1BD471C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（6）主持或作为主要参加者，完成3个社会工作服务项目，项目通过评估；</w:t>
      </w:r>
    </w:p>
    <w:p w14:paraId="22AC645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（7）作为主要起草人参与1个省级以上或 2个地市级社会工作政策、标准、工作方案等的制定工作，所提出的意见建议被主管部门采纳。</w:t>
      </w:r>
    </w:p>
    <w:p w14:paraId="681E2C47">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val="en-US" w:eastAsia="zh-CN"/>
        </w:rPr>
        <w:t>五</w:t>
      </w:r>
      <w:r>
        <w:rPr>
          <w:rFonts w:hint="eastAsia" w:ascii="黑体" w:hAnsi="黑体" w:eastAsia="黑体" w:cs="黑体"/>
          <w:b/>
          <w:color w:val="auto"/>
          <w:sz w:val="32"/>
          <w:szCs w:val="32"/>
          <w:highlight w:val="none"/>
        </w:rPr>
        <w:t>条  审核程序</w:t>
      </w:r>
    </w:p>
    <w:p w14:paraId="3BC53487">
      <w:pPr>
        <w:keepNext w:val="0"/>
        <w:keepLines w:val="0"/>
        <w:pageBreakBefore w:val="0"/>
        <w:widowControl w:val="0"/>
        <w:kinsoku/>
        <w:wordWrap/>
        <w:overflowPunct/>
        <w:topLinePunct w:val="0"/>
        <w:autoSpaceDE/>
        <w:autoSpaceDN/>
        <w:bidi w:val="0"/>
        <w:adjustRightInd/>
        <w:snapToGrid/>
        <w:spacing w:line="560" w:lineRule="exact"/>
        <w:ind w:right="561"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rPr>
        <w:t>1.个人申请。</w:t>
      </w:r>
      <w:r>
        <w:rPr>
          <w:rFonts w:hint="eastAsia" w:ascii="仿宋_GB2312" w:hAnsi="仿宋_GB2312" w:eastAsia="仿宋_GB2312" w:cs="仿宋_GB2312"/>
          <w:color w:val="auto"/>
          <w:sz w:val="32"/>
          <w:szCs w:val="32"/>
          <w:highlight w:val="none"/>
          <w:lang w:val="en-US" w:eastAsia="zh-CN"/>
        </w:rPr>
        <w:t>2025年6月8日前</w:t>
      </w:r>
      <w:r>
        <w:rPr>
          <w:rFonts w:hint="eastAsia" w:ascii="仿宋_GB2312" w:hAnsi="仿宋_GB2312" w:eastAsia="仿宋_GB2312" w:cs="仿宋_GB2312"/>
          <w:color w:val="auto"/>
          <w:sz w:val="32"/>
          <w:szCs w:val="32"/>
          <w:highlight w:val="none"/>
        </w:rPr>
        <w:t>申请人</w:t>
      </w:r>
      <w:r>
        <w:rPr>
          <w:rFonts w:hint="eastAsia" w:ascii="仿宋_GB2312" w:hAnsi="仿宋_GB2312" w:eastAsia="仿宋_GB2312" w:cs="仿宋_GB2312"/>
          <w:color w:val="auto"/>
          <w:sz w:val="32"/>
          <w:szCs w:val="32"/>
          <w:highlight w:val="none"/>
          <w:lang w:eastAsia="zh-CN"/>
        </w:rPr>
        <w:t>登录贵州大学研究生管理信息系统（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http://gsgl.gzu.edu.cn/</w:t>
      </w:r>
      <w:r>
        <w:rPr>
          <w:rFonts w:hint="eastAsia" w:ascii="仿宋_GB2312" w:hAnsi="仿宋_GB2312" w:eastAsia="仿宋_GB2312" w:cs="仿宋_GB2312"/>
          <w:color w:val="auto"/>
          <w:sz w:val="32"/>
          <w:szCs w:val="32"/>
          <w:highlight w:val="none"/>
          <w:lang w:eastAsia="zh-CN"/>
        </w:rPr>
        <w:t>）填报导师年审申请，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于2025年6月9日17：00前</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提交2025年度硕士研究生导师申请审核表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纸质版和</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相关支撑材料至公管学院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MSW</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雅正楼419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保存备查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，并将附件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电子版发至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1327151367@qq.com</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4AADC89A">
      <w:pPr>
        <w:keepNext w:val="0"/>
        <w:keepLines w:val="0"/>
        <w:pageBreakBefore w:val="0"/>
        <w:widowControl w:val="0"/>
        <w:kinsoku/>
        <w:wordWrap/>
        <w:overflowPunct/>
        <w:topLinePunct w:val="0"/>
        <w:autoSpaceDE/>
        <w:autoSpaceDN/>
        <w:bidi w:val="0"/>
        <w:adjustRightInd/>
        <w:snapToGrid/>
        <w:spacing w:line="560" w:lineRule="exact"/>
        <w:ind w:right="561"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2.学科评审。院学</w:t>
      </w:r>
      <w:r>
        <w:rPr>
          <w:rFonts w:hint="eastAsia" w:ascii="仿宋_GB2312" w:hAnsi="仿宋_GB2312" w:eastAsia="仿宋_GB2312" w:cs="仿宋_GB2312"/>
          <w:color w:val="auto"/>
          <w:sz w:val="32"/>
          <w:szCs w:val="32"/>
          <w:highlight w:val="none"/>
          <w:lang w:val="en-US" w:eastAsia="zh-CN"/>
        </w:rPr>
        <w:t>位</w:t>
      </w:r>
      <w:r>
        <w:rPr>
          <w:rFonts w:hint="eastAsia" w:ascii="仿宋_GB2312" w:hAnsi="仿宋_GB2312" w:eastAsia="仿宋_GB2312" w:cs="仿宋_GB2312"/>
          <w:color w:val="auto"/>
          <w:sz w:val="32"/>
          <w:szCs w:val="32"/>
          <w:highlight w:val="none"/>
        </w:rPr>
        <w:t>委员会对申请人进行资格和水平评审。采取无记名投票的方式表决，赞成票超过三分之二视为通过。经公示后，报校学位评定委员会办公室（以下简称校学位办）备案并公布。</w:t>
      </w:r>
    </w:p>
    <w:p w14:paraId="001AD97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val="en-US" w:eastAsia="zh-CN"/>
        </w:rPr>
        <w:t>六</w:t>
      </w:r>
      <w:r>
        <w:rPr>
          <w:rFonts w:hint="eastAsia" w:ascii="黑体" w:hAnsi="黑体" w:eastAsia="黑体" w:cs="黑体"/>
          <w:b/>
          <w:color w:val="auto"/>
          <w:sz w:val="32"/>
          <w:szCs w:val="32"/>
          <w:highlight w:val="none"/>
        </w:rPr>
        <w:t>条  监督</w:t>
      </w:r>
    </w:p>
    <w:p w14:paraId="6D8D2852">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1.在新增导师资格审查和投票环节，一律不参与涉及本人或其亲属的评议工作。评审中个人或集体提出的申诉和异议，由校学位办仲裁。</w:t>
      </w:r>
    </w:p>
    <w:p w14:paraId="0D1455CD">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2.如果有充分证据证明导师在聘期内有违反学术道德、违反师德师风行为的</w:t>
      </w:r>
      <w:r>
        <w:rPr>
          <w:rFonts w:hint="eastAsia" w:ascii="仿宋_GB2312" w:hAnsi="仿宋_GB2312" w:eastAsia="仿宋_GB2312" w:cs="仿宋_GB2312"/>
          <w:color w:val="auto"/>
          <w:sz w:val="32"/>
          <w:szCs w:val="32"/>
          <w:highlight w:val="none"/>
          <w:lang w:eastAsia="zh-CN"/>
        </w:rPr>
        <w:t>、申请过程中提供虚假信息</w:t>
      </w:r>
      <w:r>
        <w:rPr>
          <w:rFonts w:hint="eastAsia" w:ascii="仿宋_GB2312" w:hAnsi="仿宋_GB2312" w:eastAsia="仿宋_GB2312" w:cs="仿宋_GB2312"/>
          <w:color w:val="auto"/>
          <w:sz w:val="32"/>
          <w:szCs w:val="32"/>
          <w:highlight w:val="none"/>
        </w:rPr>
        <w:t>，经院</w:t>
      </w:r>
      <w:r>
        <w:rPr>
          <w:rFonts w:hint="eastAsia" w:ascii="仿宋_GB2312" w:hAnsi="仿宋_GB2312" w:eastAsia="仿宋_GB2312" w:cs="仿宋_GB2312"/>
          <w:color w:val="auto"/>
          <w:sz w:val="32"/>
          <w:szCs w:val="32"/>
          <w:highlight w:val="none"/>
          <w:lang w:val="en-US" w:eastAsia="zh-CN"/>
        </w:rPr>
        <w:t>学位</w:t>
      </w:r>
      <w:r>
        <w:rPr>
          <w:rFonts w:hint="eastAsia" w:ascii="仿宋_GB2312" w:hAnsi="仿宋_GB2312" w:eastAsia="仿宋_GB2312" w:cs="仿宋_GB2312"/>
          <w:color w:val="auto"/>
          <w:sz w:val="32"/>
          <w:szCs w:val="32"/>
          <w:highlight w:val="none"/>
        </w:rPr>
        <w:t>委员会投票，并经学院党政联席会议讨论通过，</w:t>
      </w:r>
      <w:r>
        <w:rPr>
          <w:rFonts w:hint="eastAsia" w:ascii="仿宋_GB2312" w:hAnsi="仿宋_GB2312" w:eastAsia="仿宋_GB2312" w:cs="仿宋_GB2312"/>
          <w:color w:val="auto"/>
          <w:sz w:val="32"/>
          <w:szCs w:val="32"/>
          <w:highlight w:val="none"/>
          <w:lang w:eastAsia="zh-CN"/>
        </w:rPr>
        <w:t>取消其导师资格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年内不得申请，其所带研究生重新选择导师。此条同样适用于外聘导师。</w:t>
      </w:r>
    </w:p>
    <w:p w14:paraId="1A674FF9">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eastAsia="zh-CN"/>
        </w:rPr>
        <w:t>七</w:t>
      </w:r>
      <w:r>
        <w:rPr>
          <w:rFonts w:hint="eastAsia" w:ascii="黑体" w:hAnsi="黑体" w:eastAsia="黑体" w:cs="黑体"/>
          <w:b/>
          <w:color w:val="auto"/>
          <w:sz w:val="32"/>
          <w:szCs w:val="32"/>
          <w:highlight w:val="none"/>
        </w:rPr>
        <w:t>条  校内及校外兼职硕士生导师</w:t>
      </w:r>
      <w:r>
        <w:rPr>
          <w:rFonts w:hint="eastAsia" w:ascii="黑体" w:hAnsi="黑体" w:eastAsia="黑体" w:cs="黑体"/>
          <w:b/>
          <w:color w:val="auto"/>
          <w:sz w:val="32"/>
          <w:szCs w:val="32"/>
          <w:highlight w:val="none"/>
          <w:lang w:eastAsia="zh-CN"/>
        </w:rPr>
        <w:t>年审</w:t>
      </w:r>
    </w:p>
    <w:p w14:paraId="77073871">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1.根据培养硕士生和学科建设的实际需要，确有必要时，与我校有稳定合作关系，能积极履行参与我校学科建设的义务并作出贡献，且符合本办法第</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条的外单位专家</w:t>
      </w:r>
      <w:r>
        <w:rPr>
          <w:rFonts w:hint="eastAsia" w:ascii="仿宋_GB2312" w:hAnsi="仿宋_GB2312" w:eastAsia="仿宋_GB2312" w:cs="仿宋_GB2312"/>
          <w:color w:val="auto"/>
          <w:sz w:val="32"/>
          <w:szCs w:val="32"/>
          <w:highlight w:val="none"/>
          <w:lang w:eastAsia="zh-CN"/>
        </w:rPr>
        <w:t>也可以申请参加</w:t>
      </w:r>
      <w:r>
        <w:rPr>
          <w:rFonts w:hint="eastAsia" w:ascii="仿宋_GB2312" w:hAnsi="仿宋_GB2312" w:eastAsia="仿宋_GB2312" w:cs="仿宋_GB2312"/>
          <w:color w:val="auto"/>
          <w:sz w:val="32"/>
          <w:szCs w:val="32"/>
          <w:highlight w:val="none"/>
        </w:rPr>
        <w:t>兼职硕士生导师</w:t>
      </w:r>
      <w:r>
        <w:rPr>
          <w:rFonts w:hint="eastAsia" w:ascii="仿宋_GB2312" w:hAnsi="仿宋_GB2312" w:eastAsia="仿宋_GB2312" w:cs="仿宋_GB2312"/>
          <w:color w:val="auto"/>
          <w:sz w:val="32"/>
          <w:szCs w:val="32"/>
          <w:highlight w:val="none"/>
          <w:lang w:eastAsia="zh-CN"/>
        </w:rPr>
        <w:t>年度审核</w:t>
      </w:r>
      <w:r>
        <w:rPr>
          <w:rFonts w:hint="eastAsia" w:ascii="仿宋_GB2312" w:hAnsi="仿宋_GB2312" w:eastAsia="仿宋_GB2312" w:cs="仿宋_GB2312"/>
          <w:color w:val="auto"/>
          <w:sz w:val="32"/>
          <w:szCs w:val="32"/>
          <w:highlight w:val="none"/>
        </w:rPr>
        <w:t>。</w:t>
      </w:r>
    </w:p>
    <w:p w14:paraId="30B46442">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2.申请兼职硕士生导师由本人向我院提出申请，经资格审查，按本办法第三条、第四条规定的条件和程序进行</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w:t>
      </w:r>
    </w:p>
    <w:p w14:paraId="733B32FC">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3.兼职硕士生导师要明确培养责任和权益，落实课题经费及培养经费，以保证硕士生培养工作的顺利进行。</w:t>
      </w:r>
    </w:p>
    <w:p w14:paraId="043749E0">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eastAsia="zh-CN"/>
        </w:rPr>
        <w:t>八</w:t>
      </w:r>
      <w:r>
        <w:rPr>
          <w:rFonts w:hint="eastAsia" w:ascii="黑体" w:hAnsi="黑体" w:eastAsia="黑体" w:cs="黑体"/>
          <w:b/>
          <w:color w:val="auto"/>
          <w:sz w:val="32"/>
          <w:szCs w:val="32"/>
          <w:highlight w:val="none"/>
        </w:rPr>
        <w:t>条  附则</w:t>
      </w:r>
    </w:p>
    <w:p w14:paraId="689B728A">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.其他不明事宜，解释权属公共管理学院。</w:t>
      </w:r>
    </w:p>
    <w:p w14:paraId="407CC159">
      <w:pPr>
        <w:keepNext w:val="0"/>
        <w:keepLines w:val="0"/>
        <w:pageBreakBefore w:val="0"/>
        <w:widowControl w:val="0"/>
        <w:kinsoku/>
        <w:overflowPunct/>
        <w:topLinePunct w:val="0"/>
        <w:autoSpaceDE/>
        <w:autoSpaceDN/>
        <w:bidi w:val="0"/>
        <w:adjustRightInd/>
        <w:snapToGrid/>
        <w:spacing w:line="560" w:lineRule="exact"/>
        <w:ind w:right="56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rPr>
        <w:t>从公布之日起生效。</w:t>
      </w:r>
    </w:p>
    <w:p w14:paraId="1699325B">
      <w:pPr>
        <w:keepNext w:val="0"/>
        <w:keepLines w:val="0"/>
        <w:pageBreakBefore w:val="0"/>
        <w:widowControl w:val="0"/>
        <w:kinsoku/>
        <w:wordWrap w:val="0"/>
        <w:overflowPunct/>
        <w:topLinePunct w:val="0"/>
        <w:autoSpaceDE/>
        <w:autoSpaceDN/>
        <w:bidi w:val="0"/>
        <w:adjustRightInd/>
        <w:snapToGrid/>
        <w:spacing w:line="560" w:lineRule="exact"/>
        <w:ind w:right="560" w:firstLine="42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96EE1F5">
      <w:pPr>
        <w:keepNext w:val="0"/>
        <w:keepLines w:val="0"/>
        <w:pageBreakBefore w:val="0"/>
        <w:widowControl w:val="0"/>
        <w:kinsoku/>
        <w:wordWrap w:val="0"/>
        <w:overflowPunct/>
        <w:topLinePunct w:val="0"/>
        <w:autoSpaceDE/>
        <w:autoSpaceDN/>
        <w:bidi w:val="0"/>
        <w:adjustRightInd/>
        <w:snapToGrid/>
        <w:spacing w:line="560" w:lineRule="exact"/>
        <w:ind w:right="560" w:firstLine="42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44549E76">
      <w:pPr>
        <w:keepNext w:val="0"/>
        <w:keepLines w:val="0"/>
        <w:pageBreakBefore w:val="0"/>
        <w:widowControl w:val="0"/>
        <w:kinsoku/>
        <w:wordWrap w:val="0"/>
        <w:overflowPunct/>
        <w:topLinePunct w:val="0"/>
        <w:autoSpaceDE/>
        <w:autoSpaceDN/>
        <w:bidi w:val="0"/>
        <w:adjustRightInd/>
        <w:snapToGrid/>
        <w:spacing w:line="560" w:lineRule="exact"/>
        <w:ind w:right="560" w:firstLine="420"/>
        <w:jc w:val="center"/>
        <w:textAlignment w:val="auto"/>
        <w:rPr>
          <w:rFonts w:hint="eastAsia" w:ascii="仿宋_GB2312" w:hAnsi="仿宋_GB2312" w:eastAsia="仿宋_GB2312" w:cs="仿宋_GB2312"/>
          <w:color w:val="auto"/>
          <w:sz w:val="32"/>
          <w:szCs w:val="32"/>
          <w:highlight w:val="none"/>
          <w:lang w:val="en-US" w:eastAsia="zh-CN"/>
        </w:rPr>
      </w:pPr>
    </w:p>
    <w:p w14:paraId="02EA952B">
      <w:pPr>
        <w:keepNext w:val="0"/>
        <w:keepLines w:val="0"/>
        <w:pageBreakBefore w:val="0"/>
        <w:widowControl w:val="0"/>
        <w:kinsoku/>
        <w:wordWrap w:val="0"/>
        <w:overflowPunct/>
        <w:topLinePunct w:val="0"/>
        <w:autoSpaceDE/>
        <w:autoSpaceDN/>
        <w:bidi w:val="0"/>
        <w:adjustRightInd/>
        <w:snapToGrid/>
        <w:spacing w:line="560" w:lineRule="exact"/>
        <w:ind w:right="560" w:firstLine="42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贵州大学公共管理学院</w:t>
      </w:r>
    </w:p>
    <w:p w14:paraId="28026E5E">
      <w:pPr>
        <w:keepNext w:val="0"/>
        <w:keepLines w:val="0"/>
        <w:pageBreakBefore w:val="0"/>
        <w:widowControl w:val="0"/>
        <w:kinsoku/>
        <w:wordWrap w:val="0"/>
        <w:overflowPunct/>
        <w:topLinePunct w:val="0"/>
        <w:autoSpaceDE/>
        <w:autoSpaceDN/>
        <w:bidi w:val="0"/>
        <w:adjustRightInd/>
        <w:snapToGrid/>
        <w:spacing w:line="560" w:lineRule="exact"/>
        <w:ind w:right="560" w:firstLine="420"/>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MSW教育中心</w:t>
      </w:r>
    </w:p>
    <w:p w14:paraId="50052EB6">
      <w:pPr>
        <w:keepNext w:val="0"/>
        <w:keepLines w:val="0"/>
        <w:pageBreakBefore w:val="0"/>
        <w:widowControl/>
        <w:suppressLineNumbers w:val="0"/>
        <w:kinsoku/>
        <w:wordWrap/>
        <w:overflowPunct/>
        <w:topLinePunct w:val="0"/>
        <w:autoSpaceDE/>
        <w:autoSpaceDN/>
        <w:bidi w:val="0"/>
        <w:adjustRightInd/>
        <w:snapToGrid/>
        <w:ind w:firstLine="4160" w:firstLineChars="13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OGZjZGEzZWQ0YWVkZDljOTg4NTQ1NjM0MWJmMjgifQ=="/>
  </w:docVars>
  <w:rsids>
    <w:rsidRoot w:val="18504336"/>
    <w:rsid w:val="106F4F07"/>
    <w:rsid w:val="11420C8D"/>
    <w:rsid w:val="167A58EE"/>
    <w:rsid w:val="18504336"/>
    <w:rsid w:val="199001CC"/>
    <w:rsid w:val="27855DB5"/>
    <w:rsid w:val="27B23302"/>
    <w:rsid w:val="325A7729"/>
    <w:rsid w:val="3C3647FF"/>
    <w:rsid w:val="3FE96A1C"/>
    <w:rsid w:val="45EB09FF"/>
    <w:rsid w:val="5440752E"/>
    <w:rsid w:val="54CA13DC"/>
    <w:rsid w:val="5A002EC9"/>
    <w:rsid w:val="5EC4097D"/>
    <w:rsid w:val="63D062E3"/>
    <w:rsid w:val="6F784AF0"/>
    <w:rsid w:val="75884746"/>
    <w:rsid w:val="7D60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1803</Words>
  <Characters>1893</Characters>
  <Lines>0</Lines>
  <Paragraphs>0</Paragraphs>
  <TotalTime>4</TotalTime>
  <ScaleCrop>false</ScaleCrop>
  <LinksUpToDate>false</LinksUpToDate>
  <CharactersWithSpaces>1990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2024-04-24T01:29:00Z</dcterms:created>
  <dc:creator>熊猫戴帽子</dc:creator>
  <cp:lastModifiedBy>何昕</cp:lastModifiedBy>
  <cp:lastPrinted>2025-06-05T02:54:00Z</cp:lastPrinted>
  <dcterms:modified xsi:type="dcterms:W3CDTF">2025-06-06T03:00:18Z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3D20E2DE44114473B925C876B4B80125_13</vt:lpwstr>
  </property>
  <property fmtid="{D5CDD505-2E9C-101B-9397-08002B2CF9AE}" pid="4" name="KSOTemplateDocerSaveRecord">
    <vt:lpwstr>eyJoZGlkIjoiODFhMGZlNjBlZWU5YzZmYzVjOTA3NmRkYWZmZjAzMTEiLCJ1c2VySWQiOiI2MTM1MDU5ODkifQ==</vt:lpwstr>
  </property>
</Properties>
</file>