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公共管理学院学术型硕士生导师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年度资格审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为更好地执行学校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学术型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导师资格年审制度，根据学校相关文件精神，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结合我院学科建设与发展实际，特制定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第一条  基本原则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1.有利于学院学科建设发展和结构调整，有利于培养推动国家发展所需要的高层次人才。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2.坚持学术标准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坚持学术道德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宁缺勿滥。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3.有利于改善硕士生导师队伍的年龄结构、知识结构和学历结构。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第二条  资格审查期限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实行年审制度，审查成果范围为申请之日算起的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年内的学术成果。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第三条  基本条件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坚持以习近平新时代中国特色社会主义思想为指导，拥护中国共产党的领导，贯彻党的教育方针。导师作为研究生培养的第一责任人，肩负着为党育人、为国育才的重要使命，具备对研究生进行思想政治教育、学术规范训练、创新能力培养、社会实践引导等基本导师能力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2.近三年指导的研究生学位论文未出现质量问题，未出现教学、科研、意识形态等方面</w:t>
      </w:r>
      <w:r>
        <w:rPr>
          <w:rFonts w:hint="eastAsia" w:ascii="仿宋_GB2312" w:hAnsi="等线" w:eastAsia="仿宋_GB2312" w:cs="Times New Roman"/>
          <w:sz w:val="32"/>
          <w:szCs w:val="32"/>
          <w:highlight w:val="none"/>
          <w:lang w:val="en-US" w:eastAsia="zh-CN"/>
        </w:rPr>
        <w:t>问题</w:t>
      </w:r>
      <w:r>
        <w:rPr>
          <w:rFonts w:hint="eastAsia" w:ascii="仿宋_GB2312" w:hAnsi="等线" w:eastAsia="仿宋_GB2312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3.本校申请人员需具有高校教师资格证/岗前培训合格证（特岗教师除外）。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具有副高级及以上专业技术职称</w:t>
      </w:r>
      <w:r>
        <w:rPr>
          <w:rFonts w:hint="eastAsia" w:ascii="仿宋_GB2312" w:eastAsia="仿宋_GB2312"/>
          <w:sz w:val="32"/>
          <w:szCs w:val="32"/>
          <w:highlight w:val="none"/>
        </w:rPr>
        <w:t>（包括一流学科特岗人才、享受校聘副教授待遇不超过3年（含）的教师）</w:t>
      </w:r>
      <w:r>
        <w:rPr>
          <w:rFonts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.能认真履行导师职责，一般应有协助培养硕士研究生的经历。本校教师在校内工作时间年均不少于8个月，兼职导师在贵州大学工作时间年均累计不少于1个月。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当年年龄原则上不超过57周岁（有特殊贡献的专家除外，新增硕士点的首批硕士生导师不超过60周岁），计算截止时间为当年的12月31日。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具有坚实的理论基础和系统的专门知识，有较丰富的科研工作经验和一定的学术造诣，熟悉本学科/专业前沿领域的发展趋势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，能较好地进行国际学术交流。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第四条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申请资格条件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年内，取得与申请学科相关的研究成果达到下列条件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在1个一级学科硕士授权点下的不超过1个二级学科/方向申请硕导岗位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：以第一作者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或第一通讯作者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发表与申报学科密切相关的中文核心期刊论文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至少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SCD论文2篇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，并主持校级以上科研项目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1项或横向课题（横向课题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科研经费达3.0万元/项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eastAsia="仿宋_GB2312"/>
          <w:sz w:val="32"/>
          <w:szCs w:val="32"/>
          <w:highlight w:val="none"/>
        </w:rPr>
        <w:t>近三年，满足以下条件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之一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导师，</w:t>
      </w:r>
      <w:r>
        <w:rPr>
          <w:rFonts w:ascii="仿宋_GB2312" w:eastAsia="仿宋_GB2312"/>
          <w:sz w:val="32"/>
          <w:szCs w:val="32"/>
          <w:highlight w:val="none"/>
        </w:rPr>
        <w:t>可在1个一级学科硕士授权点下的2个二级学科</w:t>
      </w:r>
      <w:r>
        <w:rPr>
          <w:rFonts w:hint="eastAsia" w:ascii="仿宋_GB2312" w:eastAsia="仿宋_GB2312"/>
          <w:sz w:val="32"/>
          <w:szCs w:val="32"/>
          <w:highlight w:val="none"/>
        </w:rPr>
        <w:t>/方向</w:t>
      </w:r>
      <w:r>
        <w:rPr>
          <w:rFonts w:ascii="仿宋_GB2312" w:eastAsia="仿宋_GB2312"/>
          <w:sz w:val="32"/>
          <w:szCs w:val="32"/>
          <w:highlight w:val="none"/>
        </w:rPr>
        <w:t>申请硕导岗位：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ascii="仿宋_GB2312" w:eastAsia="仿宋_GB2312"/>
          <w:sz w:val="32"/>
          <w:szCs w:val="32"/>
          <w:highlight w:val="none"/>
        </w:rPr>
        <w:t>（1）第一作者或第一通讯作者发表SCI</w:t>
      </w:r>
      <w:r>
        <w:rPr>
          <w:rFonts w:hint="eastAsia" w:ascii="仿宋_GB2312" w:eastAsia="仿宋_GB2312"/>
          <w:sz w:val="32"/>
          <w:szCs w:val="32"/>
          <w:highlight w:val="none"/>
        </w:rPr>
        <w:t>二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及以上</w:t>
      </w:r>
      <w:r>
        <w:rPr>
          <w:rFonts w:ascii="仿宋_GB2312" w:eastAsia="仿宋_GB2312"/>
          <w:sz w:val="32"/>
          <w:szCs w:val="32"/>
          <w:highlight w:val="none"/>
        </w:rPr>
        <w:t>、C刊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不含扩展版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/>
          <w:sz w:val="32"/>
          <w:szCs w:val="32"/>
          <w:highlight w:val="none"/>
        </w:rPr>
        <w:t>、SSCI论文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（2）主持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并在研</w:t>
      </w:r>
      <w:r>
        <w:rPr>
          <w:rFonts w:ascii="仿宋_GB2312" w:eastAsia="仿宋_GB2312"/>
          <w:sz w:val="32"/>
          <w:szCs w:val="32"/>
          <w:highlight w:val="none"/>
        </w:rPr>
        <w:t>国家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自然科学</w:t>
      </w:r>
      <w:r>
        <w:rPr>
          <w:rFonts w:ascii="仿宋_GB2312" w:eastAsia="仿宋_GB2312"/>
          <w:sz w:val="32"/>
          <w:szCs w:val="32"/>
          <w:highlight w:val="none"/>
        </w:rPr>
        <w:t>基金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社会科学</w:t>
      </w:r>
      <w:r>
        <w:rPr>
          <w:rFonts w:ascii="仿宋_GB2312" w:eastAsia="仿宋_GB2312"/>
          <w:sz w:val="32"/>
          <w:szCs w:val="32"/>
          <w:highlight w:val="none"/>
        </w:rPr>
        <w:t>基金及以上的国家级项目；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（3）作为排名第一的指导教师，指导学生参加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“</w:t>
      </w:r>
      <w:r>
        <w:rPr>
          <w:rFonts w:ascii="仿宋_GB2312" w:eastAsia="仿宋_GB2312"/>
          <w:sz w:val="32"/>
          <w:szCs w:val="32"/>
          <w:highlight w:val="none"/>
        </w:rPr>
        <w:t>挑战杯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”、“</w:t>
      </w:r>
      <w:r>
        <w:rPr>
          <w:rFonts w:ascii="仿宋_GB2312" w:eastAsia="仿宋_GB2312"/>
          <w:sz w:val="32"/>
          <w:szCs w:val="32"/>
          <w:highlight w:val="none"/>
        </w:rPr>
        <w:t>互联网+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”、“</w:t>
      </w:r>
      <w:r>
        <w:rPr>
          <w:rFonts w:ascii="仿宋_GB2312" w:eastAsia="仿宋_GB2312"/>
          <w:sz w:val="32"/>
          <w:szCs w:val="32"/>
          <w:highlight w:val="none"/>
        </w:rPr>
        <w:t>研究生创新系列大赛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”、“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教育部认可的全国普通高校大学生竞赛榜单中竞赛”</w:t>
      </w:r>
      <w:r>
        <w:rPr>
          <w:rFonts w:ascii="仿宋_GB2312" w:eastAsia="仿宋_GB2312"/>
          <w:sz w:val="32"/>
          <w:szCs w:val="32"/>
          <w:highlight w:val="none"/>
        </w:rPr>
        <w:t>并获国家级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ascii="仿宋_GB2312" w:eastAsia="仿宋_GB2312"/>
          <w:sz w:val="32"/>
          <w:szCs w:val="32"/>
          <w:highlight w:val="none"/>
        </w:rPr>
        <w:t>等奖及以上奖项。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条  审核程序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1.个人申请。申请人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登录贵州大学研究生管理信息系统（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http://210.40.7.236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）填报导师年审申请，并提交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生科对申请人进行资格审查。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2.学科评审。院学术委员会对申请人进行资格和水平评审。采取无记名投票的方式表决，赞成票超过三分之二视为通过。经公示后，报校学位评定委员会办公室（以下简称校学位办）备案并公布。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条  监督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1.在新增导师资格审查和投票环节，一律不参与涉及本人或其亲属的评议工作。评审中个人或集体提出的申诉和异议，由校学位办仲裁。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2.如果有充分证据证明导师在聘期内有违反学术道德、违反师德师风行为的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、申请过程中提供虚假信息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，经院学术委员会投票，并经学院党政联席会议讨论通过，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取消其导师资格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年内不得申请，其所带研究生重新选择导师。此条同样适用于外聘导师。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条  校内及校外兼职硕士生导师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年审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1.根据培养硕士生和学科建设的实际需要，确有必要时，与我校有稳定合作关系，能积极履行参与我校学科建设的义务并作出贡献，且符合本办法第二条的外单位专家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也可以申请参加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兼职硕士生导师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2.申请兼职硕士生导师由本人向我院提出申请，经资格审查，按本办法第三条、第四条规定的条件和程序进行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3.兼职硕士生导师要明确培养责任和权益，落实课题经费及培养经费，以保证硕士生培养工作的顺利进行。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条  附则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.其他不明事宜，解释权属公共管理学院。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从公布之日起生效。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贵州大学公共管理学院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firstLine="4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firstLine="4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/>
    <w:sectPr>
      <w:pgSz w:w="11906" w:h="16838"/>
      <w:pgMar w:top="2098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GZlNjBlZWU5YzZmYzVjOTA3NmRkYWZmZjAzMTEifQ=="/>
  </w:docVars>
  <w:rsids>
    <w:rsidRoot w:val="0B027B7A"/>
    <w:rsid w:val="0B027B7A"/>
    <w:rsid w:val="1D8E4CC8"/>
    <w:rsid w:val="24BE3012"/>
    <w:rsid w:val="2CD419F8"/>
    <w:rsid w:val="3A3F3D85"/>
    <w:rsid w:val="3A8B17FB"/>
    <w:rsid w:val="4DA721EE"/>
    <w:rsid w:val="58C20208"/>
    <w:rsid w:val="5F622211"/>
    <w:rsid w:val="698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2024-04-19T03:32:00Z</dcterms:created>
  <dc:creator>何昕</dc:creator>
  <cp:lastModifiedBy>何昕</cp:lastModifiedBy>
  <cp:lastPrinted>2024-04-22T08:26:00Z</cp:lastPrinted>
  <dcterms:modified xsi:type="dcterms:W3CDTF">2024-04-23T02:39:30Z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08A59821C89541A493498965DA3A59FB_11</vt:lpwstr>
  </property>
</Properties>
</file>