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77B60">
      <w:pPr>
        <w:jc w:val="center"/>
        <w:rPr>
          <w:rFonts w:hint="eastAsia" w:ascii="方正小标宋简体" w:hAnsi="仿宋" w:eastAsia="方正小标宋简体" w:cs="仿宋"/>
          <w:color w:val="auto"/>
          <w:sz w:val="44"/>
          <w:szCs w:val="44"/>
          <w:highlight w:val="none"/>
        </w:rPr>
      </w:pPr>
      <w:bookmarkStart w:id="0" w:name="_Toc5706"/>
      <w:bookmarkStart w:id="1" w:name="_Toc16598"/>
      <w:bookmarkStart w:id="2" w:name="_Toc2147_WPSOffice_Level2"/>
      <w:bookmarkStart w:id="3" w:name="_Toc4312_WPSOffice_Level2"/>
      <w:bookmarkStart w:id="4" w:name="_Toc12363"/>
      <w:r>
        <w:rPr>
          <w:rFonts w:hint="eastAsia" w:ascii="方正小标宋简体" w:hAnsi="仿宋" w:eastAsia="方正小标宋简体" w:cs="仿宋"/>
          <w:color w:val="auto"/>
          <w:sz w:val="44"/>
          <w:szCs w:val="44"/>
          <w:highlight w:val="none"/>
          <w:lang w:val="en-US" w:eastAsia="zh-CN"/>
        </w:rPr>
        <w:t>贵州大学</w:t>
      </w:r>
      <w:r>
        <w:rPr>
          <w:rFonts w:hint="eastAsia" w:ascii="方正小标宋简体" w:hAnsi="仿宋" w:eastAsia="方正小标宋简体" w:cs="仿宋"/>
          <w:color w:val="auto"/>
          <w:sz w:val="44"/>
          <w:szCs w:val="44"/>
          <w:highlight w:val="none"/>
        </w:rPr>
        <w:t>公共管理学院研究生</w:t>
      </w:r>
    </w:p>
    <w:p w14:paraId="7B0379D7">
      <w:pPr>
        <w:jc w:val="center"/>
        <w:rPr>
          <w:rFonts w:hint="eastAsia" w:ascii="方正小标宋简体" w:hAnsi="仿宋" w:eastAsia="方正小标宋简体" w:cs="仿宋"/>
          <w:color w:val="auto"/>
          <w:sz w:val="44"/>
          <w:szCs w:val="44"/>
          <w:highlight w:val="none"/>
        </w:rPr>
      </w:pPr>
      <w:r>
        <w:rPr>
          <w:rFonts w:hint="eastAsia" w:ascii="方正小标宋简体" w:hAnsi="仿宋" w:eastAsia="方正小标宋简体" w:cs="仿宋"/>
          <w:color w:val="auto"/>
          <w:sz w:val="44"/>
          <w:szCs w:val="44"/>
          <w:highlight w:val="none"/>
        </w:rPr>
        <w:t>奖学金评定细则</w:t>
      </w:r>
      <w:bookmarkEnd w:id="0"/>
      <w:bookmarkEnd w:id="1"/>
      <w:bookmarkEnd w:id="2"/>
      <w:bookmarkEnd w:id="3"/>
      <w:bookmarkEnd w:id="4"/>
    </w:p>
    <w:p w14:paraId="2E277B37">
      <w:pPr>
        <w:keepNext/>
        <w:keepLines/>
        <w:widowControl w:val="0"/>
        <w:spacing w:before="0" w:after="0" w:line="560" w:lineRule="exact"/>
        <w:jc w:val="center"/>
        <w:outlineLvl w:val="1"/>
        <w:rPr>
          <w:rFonts w:ascii="Times New Roman" w:hAnsi="Times New Roman" w:eastAsia="黑体" w:cs="Times New Roman"/>
          <w:b w:val="0"/>
          <w:bCs/>
          <w:color w:val="auto"/>
          <w:kern w:val="2"/>
          <w:sz w:val="32"/>
          <w:szCs w:val="32"/>
          <w:highlight w:val="none"/>
          <w:lang w:val="en-US" w:eastAsia="zh-CN" w:bidi="hi-IN"/>
        </w:rPr>
      </w:pPr>
      <w:r>
        <w:rPr>
          <w:rFonts w:ascii="Times New Roman" w:hAnsi="Times New Roman" w:eastAsia="黑体" w:cs="Times New Roman"/>
          <w:b w:val="0"/>
          <w:bCs/>
          <w:color w:val="auto"/>
          <w:kern w:val="2"/>
          <w:sz w:val="32"/>
          <w:szCs w:val="32"/>
          <w:highlight w:val="none"/>
          <w:lang w:val="en-US" w:eastAsia="zh-CN" w:bidi="hi-IN"/>
        </w:rPr>
        <w:t>第一章  总 则</w:t>
      </w:r>
    </w:p>
    <w:p w14:paraId="7723E803">
      <w:pPr>
        <w:spacing w:line="560" w:lineRule="exact"/>
        <w:ind w:firstLine="640" w:firstLineChars="200"/>
        <w:jc w:val="left"/>
        <w:rPr>
          <w:rFonts w:ascii="仿宋_GB2312" w:hAnsi="仿宋" w:eastAsia="仿宋_GB2312" w:cs="仿宋"/>
          <w:color w:val="auto"/>
          <w:sz w:val="32"/>
          <w:szCs w:val="32"/>
          <w:highlight w:val="none"/>
        </w:rPr>
      </w:pPr>
      <w:r>
        <w:rPr>
          <w:rFonts w:cs="Times New Roman"/>
          <w:b w:val="0"/>
          <w:bCs w:val="0"/>
          <w:color w:val="auto"/>
          <w:szCs w:val="32"/>
          <w:highlight w:val="none"/>
        </w:rPr>
        <w:t>第一条</w:t>
      </w:r>
      <w:r>
        <w:rPr>
          <w:rFonts w:cs="Times New Roman"/>
          <w:color w:val="auto"/>
          <w:szCs w:val="32"/>
          <w:highlight w:val="none"/>
        </w:rPr>
        <w:t xml:space="preserve"> 为规范研究生奖学金评审工作，充分发挥研究生奖学金的激励导向作用，保证评审工作公开、公平、公正，鼓励研究生勤奋学习、潜心科研、勇于创新、全面发展，根据《贵州省学生资助资金管理办法》（黔财教〔2022〕118号）</w:t>
      </w:r>
      <w:r>
        <w:rPr>
          <w:rFonts w:hint="eastAsia" w:cs="Times New Roman"/>
          <w:color w:val="auto"/>
          <w:szCs w:val="32"/>
          <w:highlight w:val="none"/>
          <w:lang w:eastAsia="zh-CN"/>
        </w:rPr>
        <w:t>《贵州大学研究生奖学金评定办法》</w:t>
      </w:r>
      <w:r>
        <w:rPr>
          <w:rFonts w:cs="Times New Roman"/>
          <w:color w:val="auto"/>
          <w:szCs w:val="32"/>
          <w:highlight w:val="none"/>
        </w:rPr>
        <w:t>，结合学</w:t>
      </w:r>
      <w:r>
        <w:rPr>
          <w:rFonts w:hint="eastAsia" w:cs="Times New Roman"/>
          <w:color w:val="auto"/>
          <w:szCs w:val="32"/>
          <w:highlight w:val="none"/>
          <w:lang w:val="en-US" w:eastAsia="zh-CN"/>
        </w:rPr>
        <w:t>院</w:t>
      </w:r>
      <w:r>
        <w:rPr>
          <w:rFonts w:cs="Times New Roman"/>
          <w:color w:val="auto"/>
          <w:szCs w:val="32"/>
          <w:highlight w:val="none"/>
        </w:rPr>
        <w:t>实际，</w:t>
      </w:r>
      <w:r>
        <w:rPr>
          <w:rFonts w:hint="eastAsia" w:ascii="仿宋_GB2312" w:hAnsi="仿宋" w:eastAsia="仿宋_GB2312" w:cs="仿宋"/>
          <w:color w:val="auto"/>
          <w:sz w:val="32"/>
          <w:szCs w:val="32"/>
          <w:highlight w:val="none"/>
        </w:rPr>
        <w:t>特制定本评定工作实施细则（以下简称《细则》）。</w:t>
      </w:r>
    </w:p>
    <w:p w14:paraId="38AA2D28">
      <w:pPr>
        <w:spacing w:line="560" w:lineRule="exact"/>
        <w:ind w:firstLine="640" w:firstLineChars="200"/>
        <w:jc w:val="left"/>
        <w:rPr>
          <w:rFonts w:cs="Times New Roman"/>
          <w:color w:val="auto"/>
          <w:szCs w:val="32"/>
          <w:highlight w:val="none"/>
        </w:rPr>
      </w:pPr>
      <w:r>
        <w:rPr>
          <w:rFonts w:cs="Times New Roman"/>
          <w:color w:val="auto"/>
          <w:szCs w:val="32"/>
          <w:highlight w:val="none"/>
        </w:rPr>
        <w:t>第二条 本办法所称研究生是指纳入全国研究生招生计划的全日制非定向研究生(不含有固定工资收入的研究生)。</w:t>
      </w:r>
    </w:p>
    <w:p w14:paraId="4BAE9FC5">
      <w:pPr>
        <w:ind w:firstLine="640" w:firstLineChars="200"/>
        <w:jc w:val="left"/>
        <w:rPr>
          <w:rFonts w:cs="Times New Roman"/>
          <w:color w:val="auto"/>
          <w:szCs w:val="32"/>
          <w:highlight w:val="none"/>
        </w:rPr>
      </w:pPr>
      <w:r>
        <w:rPr>
          <w:rFonts w:cs="Times New Roman"/>
          <w:color w:val="auto"/>
          <w:szCs w:val="32"/>
          <w:highlight w:val="none"/>
        </w:rPr>
        <w:t>第三条 本办法所称奖学金包括国家奖学金和学业奖学</w:t>
      </w:r>
      <w:r>
        <w:rPr>
          <w:rFonts w:hint="eastAsia" w:cs="Times New Roman"/>
          <w:color w:val="auto"/>
          <w:szCs w:val="32"/>
          <w:highlight w:val="none"/>
          <w:lang w:val="en-US" w:eastAsia="zh-CN"/>
        </w:rPr>
        <w:t>金</w:t>
      </w:r>
      <w:r>
        <w:rPr>
          <w:rFonts w:cs="Times New Roman"/>
          <w:color w:val="auto"/>
          <w:szCs w:val="32"/>
          <w:highlight w:val="none"/>
        </w:rPr>
        <w:t>。</w:t>
      </w:r>
    </w:p>
    <w:p w14:paraId="3051998C">
      <w:pPr>
        <w:spacing w:line="52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b w:val="0"/>
          <w:bCs w:val="0"/>
          <w:color w:val="auto"/>
          <w:sz w:val="32"/>
          <w:szCs w:val="32"/>
          <w:highlight w:val="none"/>
        </w:rPr>
        <w:t>第四条</w:t>
      </w:r>
      <w:r>
        <w:rPr>
          <w:rFonts w:hint="eastAsia" w:ascii="仿宋_GB2312" w:hAnsi="仿宋" w:eastAsia="仿宋_GB2312"/>
          <w:color w:val="auto"/>
          <w:sz w:val="32"/>
          <w:szCs w:val="32"/>
          <w:highlight w:val="none"/>
        </w:rPr>
        <w:t xml:space="preserve"> 本办法适用于202</w:t>
      </w:r>
      <w:r>
        <w:rPr>
          <w:rFonts w:hint="eastAsia" w:ascii="仿宋_GB2312" w:hAnsi="仿宋"/>
          <w:color w:val="auto"/>
          <w:sz w:val="32"/>
          <w:szCs w:val="32"/>
          <w:highlight w:val="none"/>
          <w:lang w:val="en-US" w:eastAsia="zh-CN"/>
        </w:rPr>
        <w:t>4</w:t>
      </w:r>
      <w:r>
        <w:rPr>
          <w:rFonts w:hint="eastAsia" w:ascii="仿宋_GB2312" w:hAnsi="仿宋" w:eastAsia="仿宋_GB2312"/>
          <w:color w:val="auto"/>
          <w:sz w:val="32"/>
          <w:szCs w:val="32"/>
          <w:highlight w:val="none"/>
        </w:rPr>
        <w:t>级及以后入学的研究生</w:t>
      </w:r>
      <w:r>
        <w:rPr>
          <w:rFonts w:hint="eastAsia" w:ascii="仿宋_GB2312" w:hAnsi="仿宋"/>
          <w:color w:val="auto"/>
          <w:sz w:val="32"/>
          <w:szCs w:val="32"/>
          <w:highlight w:val="none"/>
          <w:lang w:eastAsia="zh-CN"/>
        </w:rPr>
        <w:t>。</w:t>
      </w:r>
    </w:p>
    <w:p w14:paraId="24801808">
      <w:pPr>
        <w:keepNext/>
        <w:keepLines/>
        <w:widowControl w:val="0"/>
        <w:spacing w:before="0" w:after="0" w:line="560" w:lineRule="exact"/>
        <w:jc w:val="center"/>
        <w:outlineLvl w:val="1"/>
        <w:rPr>
          <w:rFonts w:ascii="Times New Roman" w:hAnsi="Times New Roman" w:eastAsia="黑体" w:cs="Times New Roman"/>
          <w:b w:val="0"/>
          <w:bCs/>
          <w:color w:val="auto"/>
          <w:kern w:val="2"/>
          <w:sz w:val="32"/>
          <w:szCs w:val="32"/>
          <w:highlight w:val="none"/>
          <w:lang w:val="en-US" w:eastAsia="zh-CN" w:bidi="hi-IN"/>
        </w:rPr>
      </w:pPr>
      <w:r>
        <w:rPr>
          <w:rFonts w:ascii="Times New Roman" w:hAnsi="Times New Roman" w:eastAsia="黑体" w:cs="Times New Roman"/>
          <w:b w:val="0"/>
          <w:bCs/>
          <w:color w:val="auto"/>
          <w:kern w:val="2"/>
          <w:sz w:val="32"/>
          <w:szCs w:val="32"/>
          <w:highlight w:val="none"/>
          <w:lang w:val="en-US" w:eastAsia="zh-CN" w:bidi="hi-IN"/>
        </w:rPr>
        <w:t>第二章 评审机构</w:t>
      </w:r>
    </w:p>
    <w:p w14:paraId="2056C077">
      <w:pPr>
        <w:spacing w:line="560" w:lineRule="exact"/>
        <w:ind w:firstLine="640" w:firstLineChars="200"/>
        <w:rPr>
          <w:rFonts w:cs="Times New Roman"/>
          <w:color w:val="auto"/>
          <w:szCs w:val="32"/>
          <w:highlight w:val="none"/>
        </w:rPr>
      </w:pPr>
      <w:r>
        <w:rPr>
          <w:rFonts w:cs="Times New Roman"/>
          <w:color w:val="auto"/>
          <w:szCs w:val="32"/>
          <w:highlight w:val="none"/>
        </w:rPr>
        <w:t>第</w:t>
      </w:r>
      <w:r>
        <w:rPr>
          <w:rFonts w:hint="eastAsia" w:cs="Times New Roman"/>
          <w:color w:val="auto"/>
          <w:szCs w:val="32"/>
          <w:highlight w:val="none"/>
          <w:lang w:val="en-US" w:eastAsia="zh-CN"/>
        </w:rPr>
        <w:t>五</w:t>
      </w:r>
      <w:r>
        <w:rPr>
          <w:rFonts w:cs="Times New Roman"/>
          <w:color w:val="auto"/>
          <w:szCs w:val="32"/>
          <w:highlight w:val="none"/>
        </w:rPr>
        <w:t>条 校学生评优评奖委员会负责统筹领导、组织协调、指导监督全校研究生奖学金评审工作。研究生管理工作处、研究生院、学生资助管理中心具体负责组织实施，按照校学生评优评奖委员会要求开展审核、评审等工作。</w:t>
      </w:r>
    </w:p>
    <w:p w14:paraId="6C97B16F">
      <w:pPr>
        <w:spacing w:line="560" w:lineRule="exact"/>
        <w:ind w:firstLine="640" w:firstLineChars="200"/>
        <w:rPr>
          <w:rFonts w:cs="Times New Roman"/>
          <w:color w:val="auto"/>
          <w:szCs w:val="32"/>
          <w:highlight w:val="none"/>
        </w:rPr>
      </w:pPr>
      <w:r>
        <w:rPr>
          <w:rFonts w:cs="Times New Roman"/>
          <w:color w:val="auto"/>
          <w:szCs w:val="32"/>
          <w:highlight w:val="none"/>
        </w:rPr>
        <w:t>第</w:t>
      </w:r>
      <w:r>
        <w:rPr>
          <w:rFonts w:hint="eastAsia" w:cs="Times New Roman"/>
          <w:color w:val="auto"/>
          <w:szCs w:val="32"/>
          <w:highlight w:val="none"/>
          <w:lang w:val="en-US" w:eastAsia="zh-CN"/>
        </w:rPr>
        <w:t>六</w:t>
      </w:r>
      <w:r>
        <w:rPr>
          <w:rFonts w:cs="Times New Roman"/>
          <w:color w:val="auto"/>
          <w:szCs w:val="32"/>
          <w:highlight w:val="none"/>
        </w:rPr>
        <w:t>条 校学生申诉处理委员会裁决有关申诉事项。</w:t>
      </w:r>
    </w:p>
    <w:p w14:paraId="466BDE22">
      <w:pPr>
        <w:spacing w:line="560" w:lineRule="exact"/>
        <w:ind w:firstLine="624" w:firstLineChars="200"/>
        <w:rPr>
          <w:rFonts w:hint="default" w:eastAsia="仿宋_GB2312" w:cs="Times New Roman"/>
          <w:color w:val="auto"/>
          <w:spacing w:val="-6"/>
          <w:szCs w:val="32"/>
          <w:highlight w:val="none"/>
          <w:lang w:val="en-US" w:eastAsia="zh-CN"/>
        </w:rPr>
      </w:pPr>
      <w:r>
        <w:rPr>
          <w:rFonts w:cs="Times New Roman"/>
          <w:color w:val="auto"/>
          <w:spacing w:val="-4"/>
          <w:szCs w:val="32"/>
          <w:highlight w:val="none"/>
        </w:rPr>
        <w:t>第</w:t>
      </w:r>
      <w:r>
        <w:rPr>
          <w:rFonts w:hint="eastAsia" w:cs="Times New Roman"/>
          <w:color w:val="auto"/>
          <w:spacing w:val="-4"/>
          <w:szCs w:val="32"/>
          <w:highlight w:val="none"/>
          <w:lang w:val="en-US" w:eastAsia="zh-CN"/>
        </w:rPr>
        <w:t>七</w:t>
      </w:r>
      <w:r>
        <w:rPr>
          <w:rFonts w:cs="Times New Roman"/>
          <w:color w:val="auto"/>
          <w:spacing w:val="-4"/>
          <w:szCs w:val="32"/>
          <w:highlight w:val="none"/>
        </w:rPr>
        <w:t xml:space="preserve">条 </w:t>
      </w:r>
      <w:r>
        <w:rPr>
          <w:rFonts w:hint="eastAsia" w:cs="Times New Roman"/>
          <w:color w:val="auto"/>
          <w:spacing w:val="-4"/>
          <w:szCs w:val="32"/>
          <w:highlight w:val="none"/>
          <w:lang w:val="en-US" w:eastAsia="zh-CN"/>
        </w:rPr>
        <w:t>学院</w:t>
      </w:r>
      <w:r>
        <w:rPr>
          <w:rFonts w:cs="Times New Roman"/>
          <w:color w:val="auto"/>
          <w:spacing w:val="-6"/>
          <w:szCs w:val="32"/>
          <w:highlight w:val="none"/>
        </w:rPr>
        <w:t>成立研究生评优评奖工作小组，由培养单位主要领导任组长，相关分管领导任副组长，成员由导师代表、研究生辅导员、管理人员代表、研究生代表等组成，负责制定</w:t>
      </w:r>
      <w:r>
        <w:rPr>
          <w:rFonts w:hint="eastAsia" w:cs="Times New Roman"/>
          <w:color w:val="auto"/>
          <w:spacing w:val="-6"/>
          <w:szCs w:val="32"/>
          <w:highlight w:val="none"/>
          <w:lang w:val="en-US" w:eastAsia="zh-CN"/>
        </w:rPr>
        <w:t>本院</w:t>
      </w:r>
      <w:r>
        <w:rPr>
          <w:rFonts w:cs="Times New Roman"/>
          <w:color w:val="auto"/>
          <w:spacing w:val="-6"/>
          <w:szCs w:val="32"/>
          <w:highlight w:val="none"/>
        </w:rPr>
        <w:t>研究生奖学金评审实施细则，并完成本</w:t>
      </w:r>
      <w:r>
        <w:rPr>
          <w:rFonts w:hint="eastAsia" w:cs="Times New Roman"/>
          <w:color w:val="auto"/>
          <w:spacing w:val="-6"/>
          <w:szCs w:val="32"/>
          <w:highlight w:val="none"/>
          <w:lang w:val="en-US" w:eastAsia="zh-CN"/>
        </w:rPr>
        <w:t>院</w:t>
      </w:r>
      <w:r>
        <w:rPr>
          <w:rFonts w:cs="Times New Roman"/>
          <w:color w:val="auto"/>
          <w:spacing w:val="-6"/>
          <w:szCs w:val="32"/>
          <w:highlight w:val="none"/>
        </w:rPr>
        <w:t>奖学金的申请受理、初步评审及意见反馈处理等工作。</w:t>
      </w:r>
    </w:p>
    <w:p w14:paraId="5F7845FE">
      <w:pPr>
        <w:keepNext/>
        <w:keepLines/>
        <w:widowControl w:val="0"/>
        <w:spacing w:before="0" w:after="0" w:line="560" w:lineRule="exact"/>
        <w:jc w:val="center"/>
        <w:outlineLvl w:val="1"/>
        <w:rPr>
          <w:rFonts w:ascii="Times New Roman" w:hAnsi="Times New Roman" w:eastAsia="黑体" w:cs="Times New Roman"/>
          <w:b w:val="0"/>
          <w:bCs/>
          <w:color w:val="auto"/>
          <w:kern w:val="2"/>
          <w:sz w:val="32"/>
          <w:szCs w:val="32"/>
          <w:highlight w:val="none"/>
          <w:lang w:val="en-US" w:eastAsia="zh-CN" w:bidi="hi-IN"/>
        </w:rPr>
      </w:pPr>
      <w:r>
        <w:rPr>
          <w:rFonts w:ascii="Times New Roman" w:hAnsi="Times New Roman" w:eastAsia="黑体" w:cs="Times New Roman"/>
          <w:b w:val="0"/>
          <w:bCs/>
          <w:color w:val="auto"/>
          <w:kern w:val="2"/>
          <w:sz w:val="32"/>
          <w:szCs w:val="32"/>
          <w:highlight w:val="none"/>
          <w:lang w:val="en-US" w:eastAsia="zh-CN" w:bidi="hi-IN"/>
        </w:rPr>
        <w:t>第三章 奖项设置</w:t>
      </w:r>
    </w:p>
    <w:p w14:paraId="258A6B0C">
      <w:pPr>
        <w:keepNext w:val="0"/>
        <w:keepLines w:val="0"/>
        <w:widowControl/>
        <w:spacing w:before="0" w:beforeLines="50" w:after="0" w:line="560" w:lineRule="exact"/>
        <w:ind w:firstLine="640" w:firstLineChars="200"/>
        <w:jc w:val="left"/>
        <w:outlineLvl w:val="9"/>
        <w:rPr>
          <w:rFonts w:ascii="仿宋_GB2312" w:hAnsi="仿宋" w:eastAsia="仿宋_GB2312" w:cs="仿宋"/>
          <w:b w:val="0"/>
          <w:bCs w:val="0"/>
          <w:color w:val="auto"/>
          <w:sz w:val="32"/>
          <w:szCs w:val="32"/>
          <w:highlight w:val="none"/>
        </w:rPr>
      </w:pPr>
      <w:r>
        <w:rPr>
          <w:rFonts w:hint="eastAsia" w:ascii="仿宋_GB2312" w:hAnsi="仿宋" w:eastAsia="仿宋_GB2312" w:cs="仿宋"/>
          <w:b w:val="0"/>
          <w:bCs w:val="0"/>
          <w:color w:val="auto"/>
          <w:sz w:val="32"/>
          <w:szCs w:val="32"/>
          <w:highlight w:val="none"/>
        </w:rPr>
        <w:t>第</w:t>
      </w:r>
      <w:r>
        <w:rPr>
          <w:rFonts w:hint="eastAsia" w:ascii="仿宋_GB2312" w:hAnsi="仿宋" w:cs="仿宋"/>
          <w:b w:val="0"/>
          <w:bCs w:val="0"/>
          <w:color w:val="auto"/>
          <w:sz w:val="32"/>
          <w:szCs w:val="32"/>
          <w:highlight w:val="none"/>
          <w:lang w:val="en-US" w:eastAsia="zh-CN"/>
        </w:rPr>
        <w:t>八</w:t>
      </w:r>
      <w:r>
        <w:rPr>
          <w:rFonts w:hint="eastAsia" w:ascii="仿宋_GB2312" w:hAnsi="仿宋" w:eastAsia="仿宋_GB2312" w:cs="仿宋"/>
          <w:b w:val="0"/>
          <w:bCs w:val="0"/>
          <w:color w:val="auto"/>
          <w:sz w:val="32"/>
          <w:szCs w:val="32"/>
          <w:highlight w:val="none"/>
        </w:rPr>
        <w:t>条 国家奖学金</w:t>
      </w:r>
    </w:p>
    <w:tbl>
      <w:tblPr>
        <w:tblStyle w:val="6"/>
        <w:tblW w:w="7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1"/>
        <w:gridCol w:w="3830"/>
      </w:tblGrid>
      <w:tr w14:paraId="7B0E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3311" w:type="dxa"/>
            <w:vAlign w:val="center"/>
          </w:tcPr>
          <w:p w14:paraId="5D2EE2DE">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类别</w:t>
            </w:r>
          </w:p>
        </w:tc>
        <w:tc>
          <w:tcPr>
            <w:tcW w:w="3830" w:type="dxa"/>
            <w:vAlign w:val="center"/>
          </w:tcPr>
          <w:p w14:paraId="178D88EF">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奖励标准</w:t>
            </w:r>
          </w:p>
        </w:tc>
      </w:tr>
      <w:tr w14:paraId="4CC8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311" w:type="dxa"/>
            <w:vAlign w:val="center"/>
          </w:tcPr>
          <w:p w14:paraId="464C09FC">
            <w:pPr>
              <w:spacing w:line="560" w:lineRule="exact"/>
              <w:jc w:val="center"/>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博士</w:t>
            </w:r>
          </w:p>
        </w:tc>
        <w:tc>
          <w:tcPr>
            <w:tcW w:w="3830" w:type="dxa"/>
            <w:vAlign w:val="center"/>
          </w:tcPr>
          <w:p w14:paraId="16022301">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0000 元/年</w:t>
            </w:r>
          </w:p>
        </w:tc>
      </w:tr>
      <w:tr w14:paraId="728D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311" w:type="dxa"/>
            <w:shd w:val="clear" w:color="auto" w:fill="auto"/>
            <w:vAlign w:val="center"/>
          </w:tcPr>
          <w:p w14:paraId="71AD0EB5">
            <w:pPr>
              <w:spacing w:line="560" w:lineRule="exact"/>
              <w:jc w:val="center"/>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硕士</w:t>
            </w:r>
          </w:p>
        </w:tc>
        <w:tc>
          <w:tcPr>
            <w:tcW w:w="3830" w:type="dxa"/>
            <w:shd w:val="clear" w:color="auto" w:fill="auto"/>
            <w:vAlign w:val="center"/>
          </w:tcPr>
          <w:p w14:paraId="2DF1CDE1">
            <w:pPr>
              <w:spacing w:line="560" w:lineRule="exact"/>
              <w:jc w:val="center"/>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20000 元/年</w:t>
            </w:r>
          </w:p>
        </w:tc>
      </w:tr>
    </w:tbl>
    <w:p w14:paraId="67EE0D37">
      <w:pPr>
        <w:spacing w:beforeLines="50" w:line="560" w:lineRule="exact"/>
        <w:ind w:firstLine="640" w:firstLineChars="200"/>
        <w:rPr>
          <w:rFonts w:ascii="仿宋" w:hAnsi="仿宋" w:eastAsia="仿宋" w:cs="仿宋"/>
          <w:b w:val="0"/>
          <w:bCs w:val="0"/>
          <w:color w:val="auto"/>
          <w:sz w:val="32"/>
          <w:szCs w:val="32"/>
          <w:highlight w:val="none"/>
        </w:rPr>
      </w:pPr>
      <w:r>
        <w:rPr>
          <w:rFonts w:cs="Times New Roman"/>
          <w:color w:val="auto"/>
          <w:szCs w:val="32"/>
          <w:highlight w:val="none"/>
        </w:rPr>
        <w:t>注：评定指标和奖励标准以当年上级部门下达通知为准。</w:t>
      </w:r>
    </w:p>
    <w:p w14:paraId="1DDB3E14">
      <w:pPr>
        <w:spacing w:beforeLines="50" w:line="560" w:lineRule="exact"/>
        <w:ind w:firstLine="640" w:firstLineChars="200"/>
        <w:rPr>
          <w:rFonts w:ascii="仿宋_GB2312" w:hAnsi="仿宋" w:eastAsia="仿宋_GB2312" w:cs="仿宋"/>
          <w:b w:val="0"/>
          <w:bCs w:val="0"/>
          <w:color w:val="auto"/>
          <w:sz w:val="32"/>
          <w:szCs w:val="32"/>
          <w:highlight w:val="none"/>
        </w:rPr>
      </w:pPr>
      <w:r>
        <w:rPr>
          <w:rFonts w:hint="eastAsia" w:ascii="仿宋_GB2312" w:hAnsi="仿宋" w:eastAsia="仿宋_GB2312" w:cs="仿宋"/>
          <w:b w:val="0"/>
          <w:bCs w:val="0"/>
          <w:color w:val="auto"/>
          <w:sz w:val="32"/>
          <w:szCs w:val="32"/>
          <w:highlight w:val="none"/>
        </w:rPr>
        <w:t>第</w:t>
      </w:r>
      <w:r>
        <w:rPr>
          <w:rFonts w:hint="eastAsia" w:ascii="仿宋_GB2312" w:hAnsi="仿宋" w:cs="仿宋"/>
          <w:b w:val="0"/>
          <w:bCs w:val="0"/>
          <w:color w:val="auto"/>
          <w:sz w:val="32"/>
          <w:szCs w:val="32"/>
          <w:highlight w:val="none"/>
          <w:lang w:val="en-US" w:eastAsia="zh-CN"/>
        </w:rPr>
        <w:t>九</w:t>
      </w:r>
      <w:r>
        <w:rPr>
          <w:rFonts w:hint="eastAsia" w:ascii="仿宋_GB2312" w:hAnsi="仿宋" w:eastAsia="仿宋_GB2312" w:cs="仿宋"/>
          <w:b w:val="0"/>
          <w:bCs w:val="0"/>
          <w:color w:val="auto"/>
          <w:sz w:val="32"/>
          <w:szCs w:val="32"/>
          <w:highlight w:val="none"/>
        </w:rPr>
        <w:t>条 学业奖学金</w:t>
      </w:r>
    </w:p>
    <w:p w14:paraId="1F21421E">
      <w:pPr>
        <w:spacing w:line="560" w:lineRule="exact"/>
        <w:ind w:firstLine="640" w:firstLineChars="200"/>
        <w:rPr>
          <w:rFonts w:hint="eastAsia" w:ascii="仿宋_GB2312" w:hAnsi="仿宋" w:eastAsia="仿宋_GB2312" w:cs="仿宋"/>
          <w:b w:val="0"/>
          <w:bCs w:val="0"/>
          <w:color w:val="auto"/>
          <w:sz w:val="32"/>
          <w:szCs w:val="32"/>
          <w:highlight w:val="none"/>
        </w:rPr>
      </w:pPr>
      <w:r>
        <w:rPr>
          <w:rFonts w:hint="eastAsia" w:ascii="仿宋_GB2312" w:hAnsi="仿宋" w:eastAsia="仿宋_GB2312" w:cs="仿宋"/>
          <w:b w:val="0"/>
          <w:bCs w:val="0"/>
          <w:color w:val="auto"/>
          <w:sz w:val="32"/>
          <w:szCs w:val="32"/>
          <w:highlight w:val="none"/>
        </w:rPr>
        <w:t>（一）一年级学业奖学金</w:t>
      </w:r>
    </w:p>
    <w:tbl>
      <w:tblPr>
        <w:tblStyle w:val="6"/>
        <w:tblW w:w="7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1"/>
        <w:gridCol w:w="3495"/>
      </w:tblGrid>
      <w:tr w14:paraId="136A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3961" w:type="dxa"/>
            <w:noWrap w:val="0"/>
            <w:vAlign w:val="top"/>
          </w:tcPr>
          <w:p w14:paraId="6BE40C88">
            <w:pPr>
              <w:spacing w:line="500" w:lineRule="exact"/>
              <w:jc w:val="center"/>
              <w:rPr>
                <w:rFonts w:eastAsia="仿宋" w:cs="Times New Roman"/>
                <w:color w:val="auto"/>
                <w:szCs w:val="32"/>
                <w:highlight w:val="none"/>
              </w:rPr>
            </w:pPr>
            <w:r>
              <w:rPr>
                <w:rFonts w:eastAsia="仿宋" w:cs="Times New Roman"/>
                <w:color w:val="auto"/>
                <w:szCs w:val="32"/>
                <w:highlight w:val="none"/>
              </w:rPr>
              <w:t>类别</w:t>
            </w:r>
          </w:p>
        </w:tc>
        <w:tc>
          <w:tcPr>
            <w:tcW w:w="3495" w:type="dxa"/>
            <w:noWrap w:val="0"/>
            <w:vAlign w:val="center"/>
          </w:tcPr>
          <w:p w14:paraId="47A14167">
            <w:pPr>
              <w:spacing w:line="500" w:lineRule="exact"/>
              <w:jc w:val="center"/>
              <w:rPr>
                <w:rFonts w:eastAsia="仿宋" w:cs="Times New Roman"/>
                <w:color w:val="auto"/>
                <w:szCs w:val="32"/>
                <w:highlight w:val="none"/>
              </w:rPr>
            </w:pPr>
            <w:r>
              <w:rPr>
                <w:rFonts w:eastAsia="仿宋" w:cs="Times New Roman"/>
                <w:color w:val="auto"/>
                <w:szCs w:val="32"/>
                <w:highlight w:val="none"/>
              </w:rPr>
              <w:t>奖励标准</w:t>
            </w:r>
          </w:p>
        </w:tc>
      </w:tr>
      <w:tr w14:paraId="1D58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61" w:type="dxa"/>
            <w:noWrap w:val="0"/>
            <w:vAlign w:val="center"/>
          </w:tcPr>
          <w:p w14:paraId="0D57416F">
            <w:pPr>
              <w:spacing w:line="500" w:lineRule="exact"/>
              <w:jc w:val="center"/>
              <w:rPr>
                <w:rFonts w:eastAsia="仿宋" w:cs="Times New Roman"/>
                <w:color w:val="auto"/>
                <w:szCs w:val="32"/>
                <w:highlight w:val="none"/>
              </w:rPr>
            </w:pPr>
            <w:r>
              <w:rPr>
                <w:rFonts w:hint="eastAsia" w:eastAsia="仿宋" w:cs="Times New Roman"/>
                <w:color w:val="auto"/>
                <w:szCs w:val="32"/>
                <w:highlight w:val="none"/>
                <w:lang w:eastAsia="zh-CN"/>
              </w:rPr>
              <w:t>博</w:t>
            </w:r>
            <w:r>
              <w:rPr>
                <w:rFonts w:eastAsia="仿宋" w:cs="Times New Roman"/>
                <w:color w:val="auto"/>
                <w:szCs w:val="32"/>
                <w:highlight w:val="none"/>
              </w:rPr>
              <w:t>士</w:t>
            </w:r>
          </w:p>
        </w:tc>
        <w:tc>
          <w:tcPr>
            <w:tcW w:w="3495" w:type="dxa"/>
            <w:noWrap w:val="0"/>
            <w:vAlign w:val="center"/>
          </w:tcPr>
          <w:p w14:paraId="134BB6D7">
            <w:pPr>
              <w:spacing w:line="500" w:lineRule="exact"/>
              <w:jc w:val="center"/>
              <w:rPr>
                <w:rFonts w:eastAsia="仿宋" w:cs="Times New Roman"/>
                <w:color w:val="auto"/>
                <w:szCs w:val="32"/>
                <w:highlight w:val="none"/>
              </w:rPr>
            </w:pPr>
            <w:r>
              <w:rPr>
                <w:rFonts w:eastAsia="仿宋" w:cs="Times New Roman"/>
                <w:color w:val="auto"/>
                <w:szCs w:val="32"/>
                <w:highlight w:val="none"/>
              </w:rPr>
              <w:t>1</w:t>
            </w:r>
            <w:r>
              <w:rPr>
                <w:rFonts w:hint="eastAsia" w:eastAsia="仿宋" w:cs="Times New Roman"/>
                <w:color w:val="auto"/>
                <w:szCs w:val="32"/>
                <w:highlight w:val="none"/>
                <w:lang w:val="en-US" w:eastAsia="zh-CN"/>
              </w:rPr>
              <w:t>5</w:t>
            </w:r>
            <w:r>
              <w:rPr>
                <w:rFonts w:eastAsia="仿宋" w:cs="Times New Roman"/>
                <w:color w:val="auto"/>
                <w:szCs w:val="32"/>
                <w:highlight w:val="none"/>
              </w:rPr>
              <w:t>000元/年</w:t>
            </w:r>
          </w:p>
        </w:tc>
      </w:tr>
      <w:tr w14:paraId="3E68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61" w:type="dxa"/>
            <w:shd w:val="clear" w:color="auto" w:fill="auto"/>
            <w:noWrap w:val="0"/>
            <w:vAlign w:val="center"/>
          </w:tcPr>
          <w:p w14:paraId="00A7691F">
            <w:pPr>
              <w:spacing w:line="500" w:lineRule="exact"/>
              <w:jc w:val="center"/>
              <w:rPr>
                <w:rFonts w:hint="eastAsia" w:ascii="Times New Roman" w:hAnsi="Times New Roman" w:eastAsia="仿宋" w:cs="Times New Roman"/>
                <w:color w:val="auto"/>
                <w:kern w:val="2"/>
                <w:sz w:val="32"/>
                <w:szCs w:val="32"/>
                <w:highlight w:val="none"/>
                <w:lang w:val="en-US" w:eastAsia="zh-CN" w:bidi="hi-IN"/>
              </w:rPr>
            </w:pPr>
            <w:bookmarkStart w:id="5" w:name="_Hlk69220766"/>
            <w:r>
              <w:rPr>
                <w:rFonts w:eastAsia="仿宋" w:cs="Times New Roman"/>
                <w:color w:val="auto"/>
                <w:szCs w:val="32"/>
                <w:highlight w:val="none"/>
              </w:rPr>
              <w:t>硕士</w:t>
            </w:r>
          </w:p>
        </w:tc>
        <w:tc>
          <w:tcPr>
            <w:tcW w:w="3495" w:type="dxa"/>
            <w:shd w:val="clear" w:color="auto" w:fill="auto"/>
            <w:noWrap w:val="0"/>
            <w:vAlign w:val="center"/>
          </w:tcPr>
          <w:p w14:paraId="3DE71108">
            <w:pPr>
              <w:spacing w:line="500" w:lineRule="exact"/>
              <w:jc w:val="center"/>
              <w:rPr>
                <w:rFonts w:hint="default" w:ascii="Times New Roman" w:hAnsi="Times New Roman" w:eastAsia="仿宋" w:cs="Times New Roman"/>
                <w:color w:val="auto"/>
                <w:kern w:val="2"/>
                <w:sz w:val="32"/>
                <w:szCs w:val="32"/>
                <w:highlight w:val="none"/>
                <w:lang w:val="en-US" w:eastAsia="zh-CN" w:bidi="hi-IN"/>
              </w:rPr>
            </w:pPr>
            <w:r>
              <w:rPr>
                <w:rFonts w:eastAsia="仿宋" w:cs="Times New Roman"/>
                <w:color w:val="auto"/>
                <w:szCs w:val="32"/>
                <w:highlight w:val="none"/>
              </w:rPr>
              <w:t>10000元/年</w:t>
            </w:r>
          </w:p>
        </w:tc>
      </w:tr>
    </w:tbl>
    <w:p w14:paraId="639F633B">
      <w:pPr>
        <w:spacing w:beforeLines="50" w:line="560" w:lineRule="exact"/>
        <w:ind w:firstLine="640" w:firstLineChars="200"/>
        <w:rPr>
          <w:rFonts w:ascii="仿宋_GB2312" w:hAnsi="仿宋" w:eastAsia="仿宋_GB2312" w:cs="仿宋"/>
          <w:b w:val="0"/>
          <w:bCs w:val="0"/>
          <w:color w:val="auto"/>
          <w:sz w:val="32"/>
          <w:szCs w:val="32"/>
          <w:highlight w:val="none"/>
        </w:rPr>
      </w:pPr>
      <w:r>
        <w:rPr>
          <w:rFonts w:hint="eastAsia" w:cs="Times New Roman"/>
          <w:color w:val="auto"/>
          <w:szCs w:val="32"/>
          <w:highlight w:val="none"/>
          <w:lang w:val="en-US" w:eastAsia="zh-CN"/>
        </w:rPr>
        <w:t>注：</w:t>
      </w:r>
      <w:bookmarkEnd w:id="5"/>
      <w:r>
        <w:rPr>
          <w:rFonts w:cs="Times New Roman"/>
          <w:color w:val="auto"/>
          <w:szCs w:val="32"/>
          <w:highlight w:val="none"/>
        </w:rPr>
        <w:t>评定指标和奖励标准以当年上级部门下达通知为准。</w:t>
      </w:r>
    </w:p>
    <w:p w14:paraId="706FBC55">
      <w:pPr>
        <w:numPr>
          <w:ilvl w:val="0"/>
          <w:numId w:val="1"/>
        </w:numPr>
        <w:spacing w:line="560" w:lineRule="exact"/>
        <w:ind w:firstLine="640" w:firstLineChars="200"/>
        <w:rPr>
          <w:rFonts w:ascii="仿宋_GB2312" w:hAnsi="仿宋" w:eastAsia="仿宋_GB2312" w:cs="仿宋"/>
          <w:b w:val="0"/>
          <w:bCs w:val="0"/>
          <w:color w:val="auto"/>
          <w:sz w:val="32"/>
          <w:szCs w:val="32"/>
          <w:highlight w:val="none"/>
        </w:rPr>
      </w:pPr>
      <w:r>
        <w:rPr>
          <w:rFonts w:hint="eastAsia" w:ascii="仿宋_GB2312" w:hAnsi="仿宋" w:cs="仿宋"/>
          <w:b w:val="0"/>
          <w:bCs w:val="0"/>
          <w:color w:val="auto"/>
          <w:sz w:val="32"/>
          <w:szCs w:val="32"/>
          <w:highlight w:val="none"/>
          <w:lang w:val="en-US" w:eastAsia="zh-CN"/>
        </w:rPr>
        <w:t>其他</w:t>
      </w:r>
      <w:r>
        <w:rPr>
          <w:rFonts w:hint="eastAsia" w:ascii="仿宋_GB2312" w:hAnsi="仿宋" w:eastAsia="仿宋_GB2312" w:cs="仿宋"/>
          <w:b w:val="0"/>
          <w:bCs w:val="0"/>
          <w:color w:val="auto"/>
          <w:sz w:val="32"/>
          <w:szCs w:val="32"/>
          <w:highlight w:val="none"/>
        </w:rPr>
        <w:t>年级学业奖学金</w:t>
      </w:r>
    </w:p>
    <w:tbl>
      <w:tblPr>
        <w:tblStyle w:val="6"/>
        <w:tblW w:w="7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635"/>
        <w:gridCol w:w="2802"/>
        <w:gridCol w:w="1731"/>
      </w:tblGrid>
      <w:tr w14:paraId="3E83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tcPr>
          <w:p w14:paraId="10B45C73">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类别</w:t>
            </w:r>
          </w:p>
        </w:tc>
        <w:tc>
          <w:tcPr>
            <w:tcW w:w="1635" w:type="dxa"/>
            <w:vAlign w:val="center"/>
          </w:tcPr>
          <w:p w14:paraId="1923C42B">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等级</w:t>
            </w:r>
          </w:p>
        </w:tc>
        <w:tc>
          <w:tcPr>
            <w:tcW w:w="2802" w:type="dxa"/>
            <w:vAlign w:val="center"/>
          </w:tcPr>
          <w:p w14:paraId="01A76188">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奖励标准</w:t>
            </w:r>
          </w:p>
        </w:tc>
        <w:tc>
          <w:tcPr>
            <w:tcW w:w="1731" w:type="dxa"/>
            <w:vAlign w:val="center"/>
          </w:tcPr>
          <w:p w14:paraId="013FBDEA">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奖励比例</w:t>
            </w:r>
          </w:p>
        </w:tc>
      </w:tr>
      <w:tr w14:paraId="4986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restart"/>
            <w:tcBorders>
              <w:top w:val="single" w:color="auto" w:sz="4" w:space="0"/>
              <w:left w:val="single" w:color="auto" w:sz="4" w:space="0"/>
              <w:right w:val="single" w:color="auto" w:sz="4" w:space="0"/>
            </w:tcBorders>
          </w:tcPr>
          <w:p w14:paraId="416FA396">
            <w:pPr>
              <w:spacing w:line="560" w:lineRule="exact"/>
              <w:jc w:val="center"/>
              <w:rPr>
                <w:rFonts w:ascii="仿宋" w:hAnsi="仿宋" w:eastAsia="仿宋" w:cs="仿宋"/>
                <w:b w:val="0"/>
                <w:bCs w:val="0"/>
                <w:color w:val="auto"/>
                <w:sz w:val="32"/>
                <w:szCs w:val="32"/>
                <w:highlight w:val="none"/>
              </w:rPr>
            </w:pPr>
          </w:p>
          <w:p w14:paraId="54461A36">
            <w:pPr>
              <w:spacing w:line="560" w:lineRule="exact"/>
              <w:jc w:val="center"/>
              <w:rPr>
                <w:rFonts w:ascii="仿宋" w:hAnsi="仿宋" w:eastAsia="仿宋" w:cs="仿宋"/>
                <w:b w:val="0"/>
                <w:bCs w:val="0"/>
                <w:color w:val="auto"/>
                <w:sz w:val="32"/>
                <w:szCs w:val="32"/>
                <w:highlight w:val="none"/>
              </w:rPr>
            </w:pPr>
          </w:p>
          <w:p w14:paraId="55C644A9">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硕士</w:t>
            </w:r>
          </w:p>
        </w:tc>
        <w:tc>
          <w:tcPr>
            <w:tcW w:w="1635" w:type="dxa"/>
            <w:tcBorders>
              <w:top w:val="single" w:color="auto" w:sz="4" w:space="0"/>
              <w:left w:val="single" w:color="auto" w:sz="4" w:space="0"/>
              <w:bottom w:val="single" w:color="auto" w:sz="4" w:space="0"/>
              <w:right w:val="single" w:color="auto" w:sz="4" w:space="0"/>
            </w:tcBorders>
            <w:vAlign w:val="center"/>
          </w:tcPr>
          <w:p w14:paraId="755D9386">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特等奖</w:t>
            </w:r>
          </w:p>
        </w:tc>
        <w:tc>
          <w:tcPr>
            <w:tcW w:w="2802" w:type="dxa"/>
            <w:tcBorders>
              <w:top w:val="single" w:color="auto" w:sz="4" w:space="0"/>
              <w:left w:val="single" w:color="auto" w:sz="4" w:space="0"/>
              <w:bottom w:val="single" w:color="auto" w:sz="4" w:space="0"/>
              <w:right w:val="single" w:color="auto" w:sz="4" w:space="0"/>
            </w:tcBorders>
            <w:vAlign w:val="center"/>
          </w:tcPr>
          <w:p w14:paraId="57D7B0BE">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15000元/年</w:t>
            </w:r>
          </w:p>
        </w:tc>
        <w:tc>
          <w:tcPr>
            <w:tcW w:w="1731" w:type="dxa"/>
            <w:tcBorders>
              <w:top w:val="single" w:color="auto" w:sz="4" w:space="0"/>
              <w:left w:val="single" w:color="auto" w:sz="4" w:space="0"/>
              <w:bottom w:val="single" w:color="auto" w:sz="4" w:space="0"/>
              <w:right w:val="single" w:color="auto" w:sz="4" w:space="0"/>
            </w:tcBorders>
            <w:vAlign w:val="center"/>
          </w:tcPr>
          <w:p w14:paraId="37F436BB">
            <w:pPr>
              <w:spacing w:line="560" w:lineRule="exact"/>
              <w:ind w:firstLine="640" w:firstLineChars="200"/>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p>
        </w:tc>
      </w:tr>
      <w:tr w14:paraId="195E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continue"/>
            <w:tcBorders>
              <w:left w:val="single" w:color="auto" w:sz="4" w:space="0"/>
              <w:right w:val="single" w:color="auto" w:sz="4" w:space="0"/>
            </w:tcBorders>
          </w:tcPr>
          <w:p w14:paraId="0DEC584C">
            <w:pPr>
              <w:spacing w:line="560" w:lineRule="exact"/>
              <w:jc w:val="center"/>
              <w:rPr>
                <w:rFonts w:ascii="仿宋" w:hAnsi="仿宋" w:eastAsia="仿宋" w:cs="仿宋"/>
                <w:b w:val="0"/>
                <w:bCs w:val="0"/>
                <w:color w:val="auto"/>
                <w:sz w:val="32"/>
                <w:szCs w:val="32"/>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35997D0E">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一等奖</w:t>
            </w:r>
          </w:p>
        </w:tc>
        <w:tc>
          <w:tcPr>
            <w:tcW w:w="2802" w:type="dxa"/>
            <w:tcBorders>
              <w:top w:val="single" w:color="auto" w:sz="4" w:space="0"/>
              <w:left w:val="single" w:color="auto" w:sz="4" w:space="0"/>
              <w:bottom w:val="single" w:color="auto" w:sz="4" w:space="0"/>
              <w:right w:val="single" w:color="auto" w:sz="4" w:space="0"/>
            </w:tcBorders>
            <w:vAlign w:val="center"/>
          </w:tcPr>
          <w:p w14:paraId="60F5846B">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10000 元/年</w:t>
            </w:r>
          </w:p>
        </w:tc>
        <w:tc>
          <w:tcPr>
            <w:tcW w:w="1731" w:type="dxa"/>
            <w:tcBorders>
              <w:top w:val="single" w:color="auto" w:sz="4" w:space="0"/>
              <w:left w:val="single" w:color="auto" w:sz="4" w:space="0"/>
              <w:bottom w:val="single" w:color="auto" w:sz="4" w:space="0"/>
              <w:right w:val="single" w:color="auto" w:sz="4" w:space="0"/>
            </w:tcBorders>
            <w:vAlign w:val="center"/>
          </w:tcPr>
          <w:p w14:paraId="15ABC1EA">
            <w:pPr>
              <w:spacing w:line="560" w:lineRule="exact"/>
              <w:ind w:firstLine="640" w:firstLineChars="200"/>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w:t>
            </w:r>
          </w:p>
        </w:tc>
      </w:tr>
      <w:tr w14:paraId="045A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continue"/>
            <w:tcBorders>
              <w:left w:val="single" w:color="auto" w:sz="4" w:space="0"/>
              <w:right w:val="single" w:color="auto" w:sz="4" w:space="0"/>
            </w:tcBorders>
          </w:tcPr>
          <w:p w14:paraId="7D170336">
            <w:pPr>
              <w:spacing w:line="560" w:lineRule="exact"/>
              <w:jc w:val="center"/>
              <w:rPr>
                <w:rFonts w:ascii="仿宋" w:hAnsi="仿宋" w:eastAsia="仿宋" w:cs="仿宋"/>
                <w:b w:val="0"/>
                <w:bCs w:val="0"/>
                <w:color w:val="auto"/>
                <w:sz w:val="32"/>
                <w:szCs w:val="32"/>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173CC0BB">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二等奖</w:t>
            </w:r>
          </w:p>
        </w:tc>
        <w:tc>
          <w:tcPr>
            <w:tcW w:w="2802" w:type="dxa"/>
            <w:tcBorders>
              <w:top w:val="single" w:color="auto" w:sz="4" w:space="0"/>
              <w:left w:val="single" w:color="auto" w:sz="4" w:space="0"/>
              <w:bottom w:val="single" w:color="auto" w:sz="4" w:space="0"/>
              <w:right w:val="single" w:color="auto" w:sz="4" w:space="0"/>
            </w:tcBorders>
            <w:vAlign w:val="center"/>
          </w:tcPr>
          <w:p w14:paraId="03BD3FF1">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8000 元/年</w:t>
            </w:r>
          </w:p>
        </w:tc>
        <w:tc>
          <w:tcPr>
            <w:tcW w:w="1731" w:type="dxa"/>
            <w:tcBorders>
              <w:top w:val="single" w:color="auto" w:sz="4" w:space="0"/>
              <w:left w:val="single" w:color="auto" w:sz="4" w:space="0"/>
              <w:bottom w:val="single" w:color="auto" w:sz="4" w:space="0"/>
              <w:right w:val="single" w:color="auto" w:sz="4" w:space="0"/>
            </w:tcBorders>
            <w:vAlign w:val="center"/>
          </w:tcPr>
          <w:p w14:paraId="04A1038E">
            <w:pPr>
              <w:spacing w:line="560" w:lineRule="exact"/>
              <w:ind w:firstLine="640" w:firstLineChars="200"/>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≤15%</w:t>
            </w:r>
          </w:p>
        </w:tc>
      </w:tr>
      <w:tr w14:paraId="0CC0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continue"/>
            <w:tcBorders>
              <w:left w:val="single" w:color="auto" w:sz="4" w:space="0"/>
              <w:right w:val="single" w:color="auto" w:sz="4" w:space="0"/>
            </w:tcBorders>
          </w:tcPr>
          <w:p w14:paraId="413E787C">
            <w:pPr>
              <w:spacing w:line="560" w:lineRule="exact"/>
              <w:jc w:val="center"/>
              <w:rPr>
                <w:rFonts w:ascii="仿宋" w:hAnsi="仿宋" w:eastAsia="仿宋" w:cs="仿宋"/>
                <w:b w:val="0"/>
                <w:bCs w:val="0"/>
                <w:color w:val="auto"/>
                <w:sz w:val="32"/>
                <w:szCs w:val="32"/>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0CA7D0B3">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三等奖</w:t>
            </w:r>
          </w:p>
        </w:tc>
        <w:tc>
          <w:tcPr>
            <w:tcW w:w="2802" w:type="dxa"/>
            <w:tcBorders>
              <w:top w:val="single" w:color="auto" w:sz="4" w:space="0"/>
              <w:left w:val="single" w:color="auto" w:sz="4" w:space="0"/>
              <w:bottom w:val="single" w:color="auto" w:sz="4" w:space="0"/>
              <w:right w:val="single" w:color="auto" w:sz="4" w:space="0"/>
            </w:tcBorders>
            <w:vAlign w:val="center"/>
          </w:tcPr>
          <w:p w14:paraId="01B50C0A">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6000 元/年</w:t>
            </w:r>
          </w:p>
        </w:tc>
        <w:tc>
          <w:tcPr>
            <w:tcW w:w="1731" w:type="dxa"/>
            <w:tcBorders>
              <w:top w:val="single" w:color="auto" w:sz="4" w:space="0"/>
              <w:left w:val="single" w:color="auto" w:sz="4" w:space="0"/>
              <w:bottom w:val="single" w:color="auto" w:sz="4" w:space="0"/>
              <w:right w:val="single" w:color="auto" w:sz="4" w:space="0"/>
            </w:tcBorders>
            <w:vAlign w:val="center"/>
          </w:tcPr>
          <w:p w14:paraId="53B31036">
            <w:pPr>
              <w:spacing w:line="560" w:lineRule="exact"/>
              <w:ind w:firstLine="640" w:firstLineChars="200"/>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≤25%</w:t>
            </w:r>
          </w:p>
        </w:tc>
      </w:tr>
      <w:tr w14:paraId="0C1B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continue"/>
            <w:tcBorders>
              <w:left w:val="single" w:color="auto" w:sz="4" w:space="0"/>
              <w:right w:val="single" w:color="auto" w:sz="4" w:space="0"/>
            </w:tcBorders>
          </w:tcPr>
          <w:p w14:paraId="7E0D72F2">
            <w:pPr>
              <w:spacing w:line="560" w:lineRule="exact"/>
              <w:jc w:val="center"/>
              <w:rPr>
                <w:rFonts w:ascii="仿宋" w:hAnsi="仿宋" w:eastAsia="仿宋" w:cs="仿宋"/>
                <w:b w:val="0"/>
                <w:bCs w:val="0"/>
                <w:color w:val="auto"/>
                <w:sz w:val="32"/>
                <w:szCs w:val="32"/>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0E027087">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单项奖</w:t>
            </w:r>
          </w:p>
        </w:tc>
        <w:tc>
          <w:tcPr>
            <w:tcW w:w="2802" w:type="dxa"/>
            <w:tcBorders>
              <w:top w:val="single" w:color="auto" w:sz="4" w:space="0"/>
              <w:left w:val="single" w:color="auto" w:sz="4" w:space="0"/>
              <w:bottom w:val="single" w:color="auto" w:sz="4" w:space="0"/>
              <w:right w:val="single" w:color="auto" w:sz="4" w:space="0"/>
            </w:tcBorders>
            <w:vAlign w:val="center"/>
          </w:tcPr>
          <w:p w14:paraId="1C39E464">
            <w:pPr>
              <w:spacing w:line="560" w:lineRule="exact"/>
              <w:jc w:val="center"/>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3000</w:t>
            </w:r>
            <w:r>
              <w:rPr>
                <w:rFonts w:hint="eastAsia" w:ascii="仿宋" w:hAnsi="仿宋" w:eastAsia="仿宋" w:cs="仿宋"/>
                <w:b w:val="0"/>
                <w:bCs w:val="0"/>
                <w:color w:val="auto"/>
                <w:sz w:val="32"/>
                <w:szCs w:val="32"/>
                <w:highlight w:val="none"/>
                <w:lang w:val="en-US" w:eastAsia="zh-CN"/>
              </w:rPr>
              <w:t>-5000元</w:t>
            </w:r>
            <w:r>
              <w:rPr>
                <w:rFonts w:hint="eastAsia" w:ascii="仿宋" w:hAnsi="仿宋" w:eastAsia="仿宋" w:cs="仿宋"/>
                <w:b w:val="0"/>
                <w:bCs w:val="0"/>
                <w:color w:val="auto"/>
                <w:sz w:val="32"/>
                <w:szCs w:val="32"/>
                <w:highlight w:val="none"/>
              </w:rPr>
              <w:t>/年</w:t>
            </w:r>
          </w:p>
        </w:tc>
        <w:tc>
          <w:tcPr>
            <w:tcW w:w="1731" w:type="dxa"/>
            <w:tcBorders>
              <w:top w:val="single" w:color="auto" w:sz="4" w:space="0"/>
              <w:left w:val="single" w:color="auto" w:sz="4" w:space="0"/>
              <w:bottom w:val="single" w:color="auto" w:sz="4" w:space="0"/>
              <w:right w:val="single" w:color="auto" w:sz="4" w:space="0"/>
            </w:tcBorders>
            <w:vAlign w:val="center"/>
          </w:tcPr>
          <w:p w14:paraId="7E304B33">
            <w:pPr>
              <w:spacing w:line="560" w:lineRule="exact"/>
              <w:ind w:firstLine="640" w:firstLineChars="200"/>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p>
        </w:tc>
      </w:tr>
      <w:tr w14:paraId="30E3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restart"/>
            <w:tcBorders>
              <w:left w:val="single" w:color="auto" w:sz="4" w:space="0"/>
              <w:right w:val="single" w:color="auto" w:sz="4" w:space="0"/>
            </w:tcBorders>
          </w:tcPr>
          <w:p w14:paraId="01615F54">
            <w:pPr>
              <w:spacing w:line="560" w:lineRule="exact"/>
              <w:jc w:val="center"/>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博士</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7BA9E0E">
            <w:pPr>
              <w:spacing w:line="560" w:lineRule="exact"/>
              <w:jc w:val="center"/>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特等奖</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14:paraId="6DD85CBA">
            <w:pPr>
              <w:spacing w:line="560" w:lineRule="exact"/>
              <w:jc w:val="center"/>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lang w:val="en-US" w:eastAsia="zh-CN"/>
              </w:rPr>
              <w:t>20</w:t>
            </w:r>
            <w:r>
              <w:rPr>
                <w:rFonts w:hint="eastAsia" w:ascii="仿宋" w:hAnsi="仿宋" w:eastAsia="仿宋" w:cs="仿宋"/>
                <w:b w:val="0"/>
                <w:bCs w:val="0"/>
                <w:color w:val="auto"/>
                <w:sz w:val="32"/>
                <w:szCs w:val="32"/>
                <w:highlight w:val="none"/>
              </w:rPr>
              <w:t>000元/年</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4689B1E4">
            <w:pPr>
              <w:spacing w:line="560" w:lineRule="exact"/>
              <w:ind w:firstLine="640" w:firstLineChars="200"/>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≤3%</w:t>
            </w:r>
          </w:p>
        </w:tc>
      </w:tr>
      <w:tr w14:paraId="0B9D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continue"/>
            <w:tcBorders>
              <w:left w:val="single" w:color="auto" w:sz="4" w:space="0"/>
              <w:right w:val="single" w:color="auto" w:sz="4" w:space="0"/>
            </w:tcBorders>
          </w:tcPr>
          <w:p w14:paraId="3F3D67A4">
            <w:pPr>
              <w:spacing w:line="560" w:lineRule="exact"/>
              <w:jc w:val="center"/>
              <w:rPr>
                <w:rFonts w:ascii="仿宋" w:hAnsi="仿宋" w:eastAsia="仿宋" w:cs="仿宋"/>
                <w:b w:val="0"/>
                <w:bCs w:val="0"/>
                <w:color w:val="auto"/>
                <w:sz w:val="32"/>
                <w:szCs w:val="32"/>
                <w:highlight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3A92700">
            <w:pPr>
              <w:spacing w:line="560" w:lineRule="exact"/>
              <w:jc w:val="center"/>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一等奖</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14:paraId="603419D4">
            <w:pPr>
              <w:spacing w:line="560" w:lineRule="exact"/>
              <w:jc w:val="center"/>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1</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000 元/年</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7FF15886">
            <w:pPr>
              <w:spacing w:line="560" w:lineRule="exact"/>
              <w:ind w:firstLine="640" w:firstLineChars="200"/>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≤5%</w:t>
            </w:r>
          </w:p>
        </w:tc>
      </w:tr>
      <w:tr w14:paraId="5B92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continue"/>
            <w:tcBorders>
              <w:left w:val="single" w:color="auto" w:sz="4" w:space="0"/>
              <w:right w:val="single" w:color="auto" w:sz="4" w:space="0"/>
            </w:tcBorders>
          </w:tcPr>
          <w:p w14:paraId="197E89A5">
            <w:pPr>
              <w:spacing w:line="560" w:lineRule="exact"/>
              <w:jc w:val="center"/>
              <w:rPr>
                <w:rFonts w:ascii="仿宋" w:hAnsi="仿宋" w:eastAsia="仿宋" w:cs="仿宋"/>
                <w:b w:val="0"/>
                <w:bCs w:val="0"/>
                <w:color w:val="auto"/>
                <w:sz w:val="32"/>
                <w:szCs w:val="32"/>
                <w:highlight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59D7D99F">
            <w:pPr>
              <w:spacing w:line="560" w:lineRule="exact"/>
              <w:jc w:val="center"/>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二等奖</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14:paraId="239137E6">
            <w:pPr>
              <w:spacing w:line="560" w:lineRule="exact"/>
              <w:jc w:val="center"/>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lang w:val="en-US" w:eastAsia="zh-CN"/>
              </w:rPr>
              <w:t>12</w:t>
            </w:r>
            <w:r>
              <w:rPr>
                <w:rFonts w:hint="eastAsia" w:ascii="仿宋" w:hAnsi="仿宋" w:eastAsia="仿宋" w:cs="仿宋"/>
                <w:b w:val="0"/>
                <w:bCs w:val="0"/>
                <w:color w:val="auto"/>
                <w:sz w:val="32"/>
                <w:szCs w:val="32"/>
                <w:highlight w:val="none"/>
              </w:rPr>
              <w:t>000 元/年</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1844C03D">
            <w:pPr>
              <w:spacing w:line="560" w:lineRule="exact"/>
              <w:ind w:firstLine="640" w:firstLineChars="200"/>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≤15%</w:t>
            </w:r>
          </w:p>
        </w:tc>
      </w:tr>
      <w:tr w14:paraId="5A53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continue"/>
            <w:tcBorders>
              <w:left w:val="single" w:color="auto" w:sz="4" w:space="0"/>
              <w:right w:val="single" w:color="auto" w:sz="4" w:space="0"/>
            </w:tcBorders>
          </w:tcPr>
          <w:p w14:paraId="1E43CEF7">
            <w:pPr>
              <w:spacing w:line="560" w:lineRule="exact"/>
              <w:jc w:val="center"/>
              <w:rPr>
                <w:rFonts w:ascii="仿宋" w:hAnsi="仿宋" w:eastAsia="仿宋" w:cs="仿宋"/>
                <w:b w:val="0"/>
                <w:bCs w:val="0"/>
                <w:color w:val="auto"/>
                <w:sz w:val="32"/>
                <w:szCs w:val="32"/>
                <w:highlight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61D377BA">
            <w:pPr>
              <w:spacing w:line="560" w:lineRule="exact"/>
              <w:jc w:val="center"/>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三等奖</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14:paraId="73743E27">
            <w:pPr>
              <w:spacing w:line="560" w:lineRule="exact"/>
              <w:jc w:val="center"/>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lang w:val="en-US" w:eastAsia="zh-CN"/>
              </w:rPr>
              <w:t>10</w:t>
            </w:r>
            <w:r>
              <w:rPr>
                <w:rFonts w:hint="eastAsia" w:ascii="仿宋" w:hAnsi="仿宋" w:eastAsia="仿宋" w:cs="仿宋"/>
                <w:b w:val="0"/>
                <w:bCs w:val="0"/>
                <w:color w:val="auto"/>
                <w:sz w:val="32"/>
                <w:szCs w:val="32"/>
                <w:highlight w:val="none"/>
              </w:rPr>
              <w:t>000 元/年</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382D3537">
            <w:pPr>
              <w:spacing w:line="560" w:lineRule="exact"/>
              <w:ind w:firstLine="640" w:firstLineChars="200"/>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≤25%</w:t>
            </w:r>
          </w:p>
        </w:tc>
      </w:tr>
      <w:tr w14:paraId="238F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continue"/>
            <w:tcBorders>
              <w:left w:val="single" w:color="auto" w:sz="4" w:space="0"/>
              <w:right w:val="single" w:color="auto" w:sz="4" w:space="0"/>
            </w:tcBorders>
          </w:tcPr>
          <w:p w14:paraId="52DFD551">
            <w:pPr>
              <w:spacing w:line="560" w:lineRule="exact"/>
              <w:jc w:val="center"/>
              <w:rPr>
                <w:rFonts w:ascii="仿宋" w:hAnsi="仿宋" w:eastAsia="仿宋" w:cs="仿宋"/>
                <w:b w:val="0"/>
                <w:bCs w:val="0"/>
                <w:color w:val="auto"/>
                <w:sz w:val="32"/>
                <w:szCs w:val="32"/>
                <w:highlight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5977C7B5">
            <w:pPr>
              <w:spacing w:line="560" w:lineRule="exact"/>
              <w:jc w:val="center"/>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单项奖</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14:paraId="1291355E">
            <w:pPr>
              <w:spacing w:line="560" w:lineRule="exact"/>
              <w:jc w:val="center"/>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3000</w:t>
            </w:r>
            <w:r>
              <w:rPr>
                <w:rFonts w:hint="eastAsia" w:ascii="仿宋" w:hAnsi="仿宋" w:eastAsia="仿宋" w:cs="仿宋"/>
                <w:b w:val="0"/>
                <w:bCs w:val="0"/>
                <w:color w:val="auto"/>
                <w:sz w:val="32"/>
                <w:szCs w:val="32"/>
                <w:highlight w:val="none"/>
                <w:lang w:val="en-US" w:eastAsia="zh-CN"/>
              </w:rPr>
              <w:t>-5000元</w:t>
            </w:r>
            <w:r>
              <w:rPr>
                <w:rFonts w:hint="eastAsia" w:ascii="仿宋" w:hAnsi="仿宋" w:eastAsia="仿宋" w:cs="仿宋"/>
                <w:b w:val="0"/>
                <w:bCs w:val="0"/>
                <w:color w:val="auto"/>
                <w:sz w:val="32"/>
                <w:szCs w:val="32"/>
                <w:highlight w:val="none"/>
              </w:rPr>
              <w:t>/年</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37CA3520">
            <w:pPr>
              <w:spacing w:line="560" w:lineRule="exact"/>
              <w:ind w:firstLine="640" w:firstLineChars="200"/>
              <w:rPr>
                <w:rFonts w:hint="eastAsia" w:ascii="仿宋" w:hAnsi="仿宋" w:eastAsia="仿宋" w:cs="仿宋"/>
                <w:b w:val="0"/>
                <w:bCs w:val="0"/>
                <w:color w:val="auto"/>
                <w:kern w:val="2"/>
                <w:sz w:val="32"/>
                <w:szCs w:val="32"/>
                <w:highlight w:val="none"/>
                <w:lang w:val="en-US" w:eastAsia="zh-CN" w:bidi="hi-IN"/>
              </w:rPr>
            </w:pPr>
            <w:r>
              <w:rPr>
                <w:rFonts w:hint="eastAsia" w:ascii="仿宋" w:hAnsi="仿宋" w:eastAsia="仿宋" w:cs="仿宋"/>
                <w:b w:val="0"/>
                <w:bCs w:val="0"/>
                <w:color w:val="auto"/>
                <w:sz w:val="32"/>
                <w:szCs w:val="32"/>
                <w:highlight w:val="none"/>
              </w:rPr>
              <w:t>≤3%</w:t>
            </w:r>
          </w:p>
        </w:tc>
      </w:tr>
    </w:tbl>
    <w:p w14:paraId="4A62C55F">
      <w:pPr>
        <w:spacing w:line="560" w:lineRule="exact"/>
        <w:ind w:firstLine="640" w:firstLineChars="200"/>
        <w:rPr>
          <w:rFonts w:cs="Times New Roman"/>
          <w:b w:val="0"/>
          <w:bCs w:val="0"/>
          <w:color w:val="auto"/>
          <w:szCs w:val="32"/>
          <w:highlight w:val="none"/>
        </w:rPr>
      </w:pPr>
      <w:r>
        <w:rPr>
          <w:rFonts w:hint="eastAsia" w:cs="Times New Roman"/>
          <w:color w:val="auto"/>
          <w:szCs w:val="32"/>
          <w:highlight w:val="none"/>
          <w:lang w:val="en-US" w:eastAsia="zh-CN"/>
        </w:rPr>
        <w:t>注：奖励比例会根据每年上级部门下拨奖金额度上下浮动</w:t>
      </w:r>
      <w:r>
        <w:rPr>
          <w:rFonts w:cs="Times New Roman"/>
          <w:color w:val="auto"/>
          <w:szCs w:val="32"/>
          <w:highlight w:val="none"/>
        </w:rPr>
        <w:t>。</w:t>
      </w:r>
    </w:p>
    <w:p w14:paraId="47C88877">
      <w:pPr>
        <w:spacing w:line="560" w:lineRule="exact"/>
        <w:ind w:firstLine="640" w:firstLineChars="200"/>
        <w:rPr>
          <w:rFonts w:cs="Times New Roman"/>
          <w:b w:val="0"/>
          <w:bCs w:val="0"/>
          <w:color w:val="auto"/>
          <w:szCs w:val="32"/>
          <w:highlight w:val="none"/>
        </w:rPr>
      </w:pPr>
    </w:p>
    <w:p w14:paraId="18839109">
      <w:pPr>
        <w:keepNext/>
        <w:keepLines/>
        <w:widowControl w:val="0"/>
        <w:spacing w:before="0" w:after="0" w:line="560" w:lineRule="exact"/>
        <w:jc w:val="center"/>
        <w:outlineLvl w:val="1"/>
        <w:rPr>
          <w:rFonts w:ascii="Times New Roman" w:hAnsi="Times New Roman" w:eastAsia="黑体" w:cs="Times New Roman"/>
          <w:b w:val="0"/>
          <w:bCs/>
          <w:color w:val="auto"/>
          <w:kern w:val="2"/>
          <w:sz w:val="32"/>
          <w:szCs w:val="32"/>
          <w:highlight w:val="none"/>
          <w:lang w:val="en-US" w:eastAsia="zh-CN" w:bidi="hi-IN"/>
        </w:rPr>
      </w:pPr>
      <w:r>
        <w:rPr>
          <w:rFonts w:ascii="Times New Roman" w:hAnsi="Times New Roman" w:eastAsia="黑体" w:cs="Times New Roman"/>
          <w:b w:val="0"/>
          <w:bCs/>
          <w:color w:val="auto"/>
          <w:kern w:val="2"/>
          <w:sz w:val="32"/>
          <w:szCs w:val="32"/>
          <w:highlight w:val="none"/>
          <w:lang w:val="en-US" w:eastAsia="zh-CN" w:bidi="hi-IN"/>
        </w:rPr>
        <w:t>第四章 评定条件</w:t>
      </w:r>
    </w:p>
    <w:p w14:paraId="22EF8474">
      <w:pPr>
        <w:spacing w:line="560" w:lineRule="exact"/>
        <w:ind w:firstLine="640" w:firstLineChars="200"/>
        <w:rPr>
          <w:rFonts w:cs="Times New Roman"/>
          <w:color w:val="auto"/>
          <w:szCs w:val="32"/>
          <w:highlight w:val="none"/>
        </w:rPr>
      </w:pPr>
      <w:r>
        <w:rPr>
          <w:rFonts w:cs="Times New Roman"/>
          <w:color w:val="auto"/>
          <w:szCs w:val="32"/>
          <w:highlight w:val="none"/>
        </w:rPr>
        <w:t>第十条 奖学金申请基本条件</w:t>
      </w:r>
    </w:p>
    <w:p w14:paraId="47F4F0E3">
      <w:pPr>
        <w:spacing w:line="560" w:lineRule="exact"/>
        <w:ind w:firstLine="640" w:firstLineChars="200"/>
        <w:rPr>
          <w:rFonts w:cs="Times New Roman"/>
          <w:color w:val="auto"/>
          <w:szCs w:val="32"/>
          <w:highlight w:val="none"/>
        </w:rPr>
      </w:pPr>
      <w:r>
        <w:rPr>
          <w:rFonts w:cs="Times New Roman"/>
          <w:color w:val="auto"/>
          <w:szCs w:val="32"/>
          <w:highlight w:val="none"/>
        </w:rPr>
        <w:t>1.拥护中国共产党领导，认真学习马克思列宁主义、毛泽东思想、邓小平理论、“三个代表”重要思想、科学发展观、习近平新时代中国特色社会主义思想。</w:t>
      </w:r>
    </w:p>
    <w:p w14:paraId="782191CD">
      <w:pPr>
        <w:spacing w:line="560" w:lineRule="exact"/>
        <w:ind w:firstLine="640" w:firstLineChars="200"/>
        <w:rPr>
          <w:rFonts w:cs="Times New Roman"/>
          <w:color w:val="auto"/>
          <w:szCs w:val="32"/>
          <w:highlight w:val="none"/>
        </w:rPr>
      </w:pPr>
      <w:r>
        <w:rPr>
          <w:rFonts w:cs="Times New Roman"/>
          <w:color w:val="auto"/>
          <w:szCs w:val="32"/>
          <w:highlight w:val="none"/>
        </w:rPr>
        <w:t>2.遵守中华人民共和国宪法和法律、法规，遵守学校章程和规章制度。</w:t>
      </w:r>
    </w:p>
    <w:p w14:paraId="7D322015">
      <w:pPr>
        <w:spacing w:line="560" w:lineRule="exact"/>
        <w:ind w:firstLine="640" w:firstLineChars="200"/>
        <w:rPr>
          <w:rFonts w:cs="Times New Roman"/>
          <w:color w:val="auto"/>
          <w:szCs w:val="32"/>
          <w:highlight w:val="none"/>
        </w:rPr>
      </w:pPr>
      <w:r>
        <w:rPr>
          <w:rFonts w:cs="Times New Roman"/>
          <w:color w:val="auto"/>
          <w:szCs w:val="32"/>
          <w:highlight w:val="none"/>
        </w:rPr>
        <w:t>3.具有中华人民共和国国籍。</w:t>
      </w:r>
    </w:p>
    <w:p w14:paraId="1A02277C">
      <w:pPr>
        <w:spacing w:line="560" w:lineRule="exact"/>
        <w:ind w:firstLine="640" w:firstLineChars="200"/>
        <w:rPr>
          <w:rFonts w:cs="Times New Roman"/>
          <w:color w:val="auto"/>
          <w:szCs w:val="32"/>
          <w:highlight w:val="none"/>
        </w:rPr>
      </w:pPr>
      <w:r>
        <w:rPr>
          <w:rFonts w:cs="Times New Roman"/>
          <w:color w:val="auto"/>
          <w:szCs w:val="32"/>
          <w:highlight w:val="none"/>
        </w:rPr>
        <w:t>4.具有贵州大学研究生学籍。</w:t>
      </w:r>
    </w:p>
    <w:p w14:paraId="1160181E">
      <w:pPr>
        <w:spacing w:line="560" w:lineRule="exact"/>
        <w:ind w:firstLine="640" w:firstLineChars="200"/>
        <w:rPr>
          <w:rFonts w:cs="Times New Roman"/>
          <w:color w:val="auto"/>
          <w:szCs w:val="32"/>
          <w:highlight w:val="none"/>
        </w:rPr>
      </w:pPr>
      <w:r>
        <w:rPr>
          <w:rFonts w:cs="Times New Roman"/>
          <w:color w:val="auto"/>
          <w:szCs w:val="32"/>
          <w:highlight w:val="none"/>
        </w:rPr>
        <w:t>5.诚实守信，品学兼优，积极参与科学研究、社会实践和社会公益活动。</w:t>
      </w:r>
    </w:p>
    <w:p w14:paraId="766C1486">
      <w:pPr>
        <w:spacing w:line="560" w:lineRule="exact"/>
        <w:ind w:firstLine="640" w:firstLineChars="200"/>
        <w:rPr>
          <w:rFonts w:cs="Times New Roman"/>
          <w:color w:val="auto"/>
          <w:szCs w:val="32"/>
          <w:highlight w:val="none"/>
        </w:rPr>
      </w:pPr>
      <w:r>
        <w:rPr>
          <w:rFonts w:cs="Times New Roman"/>
          <w:color w:val="auto"/>
          <w:szCs w:val="32"/>
          <w:highlight w:val="none"/>
        </w:rPr>
        <w:t>6.无有损学校荣誉和利益的行为。</w:t>
      </w:r>
    </w:p>
    <w:p w14:paraId="639E89A0">
      <w:pPr>
        <w:spacing w:line="560" w:lineRule="exact"/>
        <w:ind w:firstLine="640" w:firstLineChars="200"/>
        <w:rPr>
          <w:rFonts w:cs="Times New Roman"/>
          <w:color w:val="auto"/>
          <w:szCs w:val="32"/>
          <w:highlight w:val="none"/>
        </w:rPr>
      </w:pPr>
      <w:r>
        <w:rPr>
          <w:rFonts w:cs="Times New Roman"/>
          <w:color w:val="auto"/>
          <w:szCs w:val="32"/>
          <w:highlight w:val="none"/>
        </w:rPr>
        <w:t>7.按时完成研究生个人培养计划各阶段规定的内容和环节。</w:t>
      </w:r>
    </w:p>
    <w:p w14:paraId="71D4E4DF">
      <w:pPr>
        <w:spacing w:line="560" w:lineRule="exact"/>
        <w:ind w:firstLine="640" w:firstLineChars="200"/>
        <w:rPr>
          <w:rFonts w:cs="Times New Roman"/>
          <w:color w:val="auto"/>
          <w:szCs w:val="32"/>
          <w:highlight w:val="none"/>
        </w:rPr>
      </w:pPr>
      <w:r>
        <w:rPr>
          <w:rFonts w:cs="Times New Roman"/>
          <w:color w:val="auto"/>
          <w:szCs w:val="32"/>
          <w:highlight w:val="none"/>
        </w:rPr>
        <w:t>8.在新生入学三个月内档案转入我校。</w:t>
      </w:r>
    </w:p>
    <w:p w14:paraId="4ED03EA7">
      <w:pPr>
        <w:spacing w:line="560" w:lineRule="exact"/>
        <w:ind w:firstLine="640" w:firstLineChars="200"/>
        <w:rPr>
          <w:rFonts w:hint="default" w:eastAsia="仿宋_GB2312" w:cs="Times New Roman"/>
          <w:color w:val="auto"/>
          <w:szCs w:val="32"/>
          <w:highlight w:val="none"/>
          <w:lang w:val="en-US" w:eastAsia="zh-CN"/>
        </w:rPr>
      </w:pPr>
      <w:r>
        <w:rPr>
          <w:rFonts w:hint="eastAsia" w:cs="Times New Roman"/>
          <w:color w:val="auto"/>
          <w:szCs w:val="32"/>
          <w:highlight w:val="none"/>
          <w:lang w:val="en-US" w:eastAsia="zh-CN"/>
        </w:rPr>
        <w:t>9.参评学年需至少参与一次学科竞赛。</w:t>
      </w:r>
    </w:p>
    <w:p w14:paraId="7BF4A0B7">
      <w:pPr>
        <w:spacing w:line="560" w:lineRule="exact"/>
        <w:ind w:firstLine="640" w:firstLineChars="200"/>
        <w:rPr>
          <w:rFonts w:hint="eastAsia" w:eastAsia="仿宋_GB2312" w:cs="Times New Roman"/>
          <w:color w:val="auto"/>
          <w:szCs w:val="32"/>
          <w:highlight w:val="none"/>
          <w:lang w:eastAsia="zh-CN"/>
        </w:rPr>
      </w:pPr>
      <w:r>
        <w:rPr>
          <w:rFonts w:cs="Times New Roman"/>
          <w:color w:val="auto"/>
          <w:szCs w:val="32"/>
          <w:highlight w:val="none"/>
        </w:rPr>
        <w:t>第十一条 有下列情况之一者，取消当年奖学金评定资格或停止发放奖学金</w:t>
      </w:r>
      <w:r>
        <w:rPr>
          <w:rFonts w:hint="eastAsia" w:cs="Times New Roman"/>
          <w:color w:val="auto"/>
          <w:szCs w:val="32"/>
          <w:highlight w:val="none"/>
          <w:lang w:eastAsia="zh-CN"/>
        </w:rPr>
        <w:t>：</w:t>
      </w:r>
    </w:p>
    <w:p w14:paraId="3A69831C">
      <w:pPr>
        <w:spacing w:line="560" w:lineRule="exact"/>
        <w:ind w:firstLine="640" w:firstLineChars="200"/>
        <w:rPr>
          <w:rFonts w:cs="Times New Roman"/>
          <w:color w:val="auto"/>
          <w:szCs w:val="32"/>
          <w:highlight w:val="none"/>
        </w:rPr>
      </w:pPr>
      <w:r>
        <w:rPr>
          <w:rFonts w:cs="Times New Roman"/>
          <w:color w:val="auto"/>
          <w:szCs w:val="32"/>
          <w:highlight w:val="none"/>
        </w:rPr>
        <w:t>1.违反法律法规，正接受调查审查者。</w:t>
      </w:r>
    </w:p>
    <w:p w14:paraId="6D07EAC7">
      <w:pPr>
        <w:spacing w:line="560" w:lineRule="exact"/>
        <w:ind w:firstLine="640" w:firstLineChars="200"/>
        <w:rPr>
          <w:rFonts w:cs="Times New Roman"/>
          <w:color w:val="auto"/>
          <w:szCs w:val="32"/>
          <w:highlight w:val="none"/>
        </w:rPr>
      </w:pPr>
      <w:r>
        <w:rPr>
          <w:rFonts w:cs="Times New Roman"/>
          <w:color w:val="auto"/>
          <w:szCs w:val="32"/>
          <w:highlight w:val="none"/>
        </w:rPr>
        <w:t>2.有不诚信行为者。</w:t>
      </w:r>
    </w:p>
    <w:p w14:paraId="20284192">
      <w:pPr>
        <w:spacing w:line="560" w:lineRule="exact"/>
        <w:ind w:firstLine="640" w:firstLineChars="200"/>
        <w:rPr>
          <w:rFonts w:cs="Times New Roman"/>
          <w:color w:val="auto"/>
          <w:szCs w:val="32"/>
          <w:highlight w:val="none"/>
        </w:rPr>
      </w:pPr>
      <w:r>
        <w:rPr>
          <w:rFonts w:cs="Times New Roman"/>
          <w:color w:val="auto"/>
          <w:szCs w:val="32"/>
          <w:highlight w:val="none"/>
        </w:rPr>
        <w:t>3.开学两周内未足额缴纳学费及有关费用者。</w:t>
      </w:r>
    </w:p>
    <w:p w14:paraId="64879C1C">
      <w:pPr>
        <w:spacing w:line="560" w:lineRule="exact"/>
        <w:ind w:firstLine="640" w:firstLineChars="200"/>
        <w:rPr>
          <w:rFonts w:cs="Times New Roman"/>
          <w:color w:val="auto"/>
          <w:szCs w:val="32"/>
          <w:highlight w:val="none"/>
        </w:rPr>
      </w:pPr>
      <w:r>
        <w:rPr>
          <w:rFonts w:cs="Times New Roman"/>
          <w:color w:val="auto"/>
          <w:szCs w:val="32"/>
          <w:highlight w:val="none"/>
        </w:rPr>
        <w:t>4.未按时完成学籍、学年报到注册者。</w:t>
      </w:r>
    </w:p>
    <w:p w14:paraId="34D1DCE6">
      <w:pPr>
        <w:spacing w:line="560" w:lineRule="exact"/>
        <w:ind w:firstLine="640" w:firstLineChars="200"/>
        <w:rPr>
          <w:rFonts w:cs="Times New Roman"/>
          <w:color w:val="auto"/>
          <w:szCs w:val="32"/>
          <w:highlight w:val="none"/>
        </w:rPr>
      </w:pPr>
      <w:r>
        <w:rPr>
          <w:rFonts w:cs="Times New Roman"/>
          <w:color w:val="auto"/>
          <w:szCs w:val="32"/>
          <w:highlight w:val="none"/>
        </w:rPr>
        <w:t>5.评选时保留学籍、休学、退学者。</w:t>
      </w:r>
    </w:p>
    <w:p w14:paraId="11993C90">
      <w:pPr>
        <w:spacing w:line="560" w:lineRule="exact"/>
        <w:ind w:firstLine="640" w:firstLineChars="200"/>
        <w:rPr>
          <w:rFonts w:cs="Times New Roman"/>
          <w:color w:val="auto"/>
          <w:szCs w:val="32"/>
          <w:highlight w:val="none"/>
        </w:rPr>
      </w:pPr>
      <w:r>
        <w:rPr>
          <w:rFonts w:cs="Times New Roman"/>
          <w:color w:val="auto"/>
          <w:szCs w:val="32"/>
          <w:highlight w:val="none"/>
        </w:rPr>
        <w:t>6.评选时违纪处分尚未解除者。</w:t>
      </w:r>
    </w:p>
    <w:p w14:paraId="609C1609">
      <w:pPr>
        <w:spacing w:line="560" w:lineRule="exact"/>
        <w:ind w:firstLine="640" w:firstLineChars="200"/>
        <w:rPr>
          <w:rFonts w:cs="Times New Roman"/>
          <w:color w:val="auto"/>
          <w:szCs w:val="32"/>
          <w:highlight w:val="none"/>
        </w:rPr>
      </w:pPr>
      <w:r>
        <w:rPr>
          <w:rFonts w:cs="Times New Roman"/>
          <w:color w:val="auto"/>
          <w:szCs w:val="32"/>
          <w:highlight w:val="none"/>
        </w:rPr>
        <w:t>7.评选学年有考试不合格或补考记录者。</w:t>
      </w:r>
    </w:p>
    <w:p w14:paraId="15011160">
      <w:pPr>
        <w:spacing w:line="560" w:lineRule="exact"/>
        <w:ind w:firstLine="640" w:firstLineChars="200"/>
        <w:rPr>
          <w:rFonts w:cs="Times New Roman"/>
          <w:color w:val="auto"/>
          <w:szCs w:val="32"/>
          <w:highlight w:val="none"/>
        </w:rPr>
      </w:pPr>
      <w:r>
        <w:rPr>
          <w:rFonts w:cs="Times New Roman"/>
          <w:color w:val="auto"/>
          <w:szCs w:val="32"/>
          <w:highlight w:val="none"/>
        </w:rPr>
        <w:t>8.其他不得参评的情形。</w:t>
      </w:r>
    </w:p>
    <w:p w14:paraId="122525E4">
      <w:pPr>
        <w:spacing w:line="560" w:lineRule="exact"/>
        <w:ind w:firstLine="640" w:firstLineChars="200"/>
        <w:rPr>
          <w:rFonts w:cs="Times New Roman"/>
          <w:color w:val="auto"/>
          <w:szCs w:val="32"/>
          <w:highlight w:val="none"/>
        </w:rPr>
      </w:pPr>
      <w:r>
        <w:rPr>
          <w:rFonts w:cs="Times New Roman"/>
          <w:color w:val="auto"/>
          <w:szCs w:val="32"/>
          <w:highlight w:val="none"/>
        </w:rPr>
        <w:t>第十二条 一年级学业奖学金评定条件</w:t>
      </w:r>
    </w:p>
    <w:p w14:paraId="3AD66ABD">
      <w:pPr>
        <w:spacing w:line="560" w:lineRule="exact"/>
        <w:ind w:firstLine="640" w:firstLineChars="200"/>
        <w:rPr>
          <w:rFonts w:cs="Times New Roman"/>
          <w:color w:val="auto"/>
          <w:szCs w:val="32"/>
          <w:highlight w:val="none"/>
        </w:rPr>
      </w:pPr>
      <w:r>
        <w:rPr>
          <w:rFonts w:cs="Times New Roman"/>
          <w:color w:val="auto"/>
          <w:szCs w:val="32"/>
          <w:highlight w:val="none"/>
        </w:rPr>
        <w:t>1.申请博士一年级学业奖学金，除满足基本条件外，还须满足以下条件之一：</w:t>
      </w:r>
    </w:p>
    <w:p w14:paraId="1373DFA1">
      <w:pPr>
        <w:spacing w:line="560" w:lineRule="exact"/>
        <w:ind w:firstLine="640" w:firstLineChars="200"/>
        <w:rPr>
          <w:rFonts w:cs="Times New Roman"/>
          <w:color w:val="auto"/>
          <w:szCs w:val="32"/>
          <w:highlight w:val="none"/>
        </w:rPr>
      </w:pPr>
      <w:r>
        <w:rPr>
          <w:rFonts w:cs="Times New Roman"/>
          <w:color w:val="auto"/>
          <w:szCs w:val="32"/>
          <w:highlight w:val="none"/>
        </w:rPr>
        <w:t>（1）学生近五年在《Nature》《Science》《Cell》主刊及子刊，《中国社会科学》《求是》《经济研究》《管理世界》《中国法学》《哲学研究》等顶级期刊发表学术论文且已见刊，或在SCI一区、SSCI Q1区（JCR分区）、CSSCI来源期刊（不含集刊、扩展版来源期刊）及以上，以第一作者发表学术论文1篇及以上且见刊。</w:t>
      </w:r>
    </w:p>
    <w:p w14:paraId="2C533FA6">
      <w:pPr>
        <w:spacing w:line="560" w:lineRule="exact"/>
        <w:ind w:firstLine="640" w:firstLineChars="200"/>
        <w:rPr>
          <w:rFonts w:cs="Times New Roman"/>
          <w:color w:val="auto"/>
          <w:szCs w:val="32"/>
          <w:highlight w:val="none"/>
        </w:rPr>
      </w:pPr>
      <w:r>
        <w:rPr>
          <w:rFonts w:cs="Times New Roman"/>
          <w:color w:val="auto"/>
          <w:szCs w:val="32"/>
          <w:highlight w:val="none"/>
        </w:rPr>
        <w:t>（2）获得过“全国最美大学生”、“中国大学生年度人物”、“中国大学生年度人物”提名、全国高校“百名研究生党员标兵”、全国优秀共产党员、全国时代楷模、全国道德模范、感动中国“十大年度人物”、中国青年五四奖章、全国五一劳动奖章、担任支部书记（或老师担任支部书记，学生担任支部副书记）期间所属支部获全国高校“百个研究生样板党支部”等有影响力的全国性荣誉称号。</w:t>
      </w:r>
    </w:p>
    <w:p w14:paraId="51D04EB1">
      <w:pPr>
        <w:spacing w:line="560" w:lineRule="exact"/>
        <w:ind w:firstLine="640" w:firstLineChars="200"/>
        <w:rPr>
          <w:rFonts w:cs="Times New Roman"/>
          <w:color w:val="auto"/>
          <w:szCs w:val="32"/>
          <w:highlight w:val="none"/>
        </w:rPr>
      </w:pPr>
      <w:r>
        <w:rPr>
          <w:rFonts w:cs="Times New Roman"/>
          <w:color w:val="auto"/>
          <w:szCs w:val="32"/>
          <w:highlight w:val="none"/>
        </w:rPr>
        <w:t xml:space="preserve">（3）学生利用所学的专业知识在服务地方经济发展中作出突出贡献，其成果实施、技术应用或提出的具体发展措施得到当地政府采纳，对地方经济建设和社会发展推动作用明显，取得特别突出的经济效益或社会效益。除导师外学生作为第一负责人的研究项目产生的专利及其成果转化、授权金额在1000万元以上；学生作为法定代表人创办企业获得1000万元以上融资或年营业额1000万元以上；学生个人事迹获中央电视台新闻联播、《求是》《人民日报》《光明日报》《经济日报》等国家权威媒体正向宣传报道。   </w:t>
      </w:r>
    </w:p>
    <w:p w14:paraId="6BBA8E84">
      <w:pPr>
        <w:spacing w:line="560" w:lineRule="exact"/>
        <w:ind w:firstLine="640" w:firstLineChars="200"/>
        <w:rPr>
          <w:rFonts w:cs="Times New Roman"/>
          <w:color w:val="auto"/>
          <w:szCs w:val="32"/>
          <w:highlight w:val="none"/>
        </w:rPr>
      </w:pPr>
      <w:r>
        <w:rPr>
          <w:rFonts w:cs="Times New Roman"/>
          <w:color w:val="auto"/>
          <w:szCs w:val="32"/>
          <w:highlight w:val="none"/>
        </w:rPr>
        <w:t>（4）在中国国际大学生创新大赛（原中国国际“互联网+”大学生创新创业大赛）、“挑战杯”全国大学生课外学术科技作品竞赛获得过国家级二等奖（银奖）及以上，在中国研究生创新实践系列大赛中获得过国家级最高奖项，且在项目中前2排名或担任路演人。</w:t>
      </w:r>
    </w:p>
    <w:p w14:paraId="2A5ACABC">
      <w:pPr>
        <w:spacing w:line="560" w:lineRule="exact"/>
        <w:ind w:firstLine="640" w:firstLineChars="200"/>
        <w:rPr>
          <w:rFonts w:cs="Times New Roman"/>
          <w:color w:val="auto"/>
          <w:szCs w:val="32"/>
          <w:highlight w:val="none"/>
        </w:rPr>
      </w:pPr>
      <w:r>
        <w:rPr>
          <w:rFonts w:hint="eastAsia" w:cs="Times New Roman"/>
          <w:color w:val="auto"/>
          <w:szCs w:val="32"/>
          <w:highlight w:val="none"/>
          <w:lang w:val="en-US" w:eastAsia="zh-CN"/>
        </w:rPr>
        <w:t>2.</w:t>
      </w:r>
      <w:r>
        <w:rPr>
          <w:rFonts w:cs="Times New Roman"/>
          <w:color w:val="auto"/>
          <w:szCs w:val="32"/>
          <w:highlight w:val="none"/>
        </w:rPr>
        <w:t>申请硕士一年级学业奖学金，除满足基本条件外，还须满足以下条件之一：</w:t>
      </w:r>
    </w:p>
    <w:p w14:paraId="072676D9">
      <w:pPr>
        <w:spacing w:line="560" w:lineRule="exact"/>
        <w:ind w:firstLine="640" w:firstLineChars="200"/>
        <w:rPr>
          <w:rFonts w:cs="Times New Roman"/>
          <w:color w:val="auto"/>
          <w:szCs w:val="32"/>
          <w:highlight w:val="none"/>
        </w:rPr>
      </w:pPr>
      <w:r>
        <w:rPr>
          <w:rFonts w:cs="Times New Roman"/>
          <w:color w:val="auto"/>
          <w:szCs w:val="32"/>
          <w:highlight w:val="none"/>
        </w:rPr>
        <w:t>（1）学生近五年在在《Nature》《Science》《Cell》主刊及子刊，《中国社会科学》《求是》《经济研究》《管理世界》《中国法学》《哲学研究》等顶级期刊发表学术论文且已见刊，或在SCI二区、SSCI Q2区（JCR分区）、CSSCI来源期刊（不含集刊、扩展版来源期刊）及以上，以第一作者</w:t>
      </w:r>
      <w:r>
        <w:rPr>
          <w:rFonts w:hint="eastAsia" w:cs="Times New Roman"/>
          <w:color w:val="auto"/>
          <w:szCs w:val="32"/>
          <w:highlight w:val="none"/>
          <w:lang w:eastAsia="zh-CN"/>
        </w:rPr>
        <w:t>（</w:t>
      </w:r>
      <w:r>
        <w:rPr>
          <w:rFonts w:hint="eastAsia" w:cs="Times New Roman"/>
          <w:color w:val="auto"/>
          <w:szCs w:val="32"/>
          <w:highlight w:val="none"/>
          <w:lang w:val="en-US" w:eastAsia="zh-CN"/>
        </w:rPr>
        <w:t>导师为第一作者、学生为第二作者时，学生可认定为共同第一作者，下面涉及第一作者论述时也按此同样逻辑</w:t>
      </w:r>
      <w:r>
        <w:rPr>
          <w:rFonts w:hint="eastAsia" w:cs="Times New Roman"/>
          <w:color w:val="auto"/>
          <w:szCs w:val="32"/>
          <w:highlight w:val="none"/>
          <w:lang w:eastAsia="zh-CN"/>
        </w:rPr>
        <w:t>）</w:t>
      </w:r>
      <w:r>
        <w:rPr>
          <w:rFonts w:cs="Times New Roman"/>
          <w:color w:val="auto"/>
          <w:szCs w:val="32"/>
          <w:highlight w:val="none"/>
        </w:rPr>
        <w:t>发表学术论文1篇及以上且见刊。</w:t>
      </w:r>
    </w:p>
    <w:p w14:paraId="1860E936">
      <w:pPr>
        <w:spacing w:line="560" w:lineRule="exact"/>
        <w:ind w:firstLine="640" w:firstLineChars="200"/>
        <w:rPr>
          <w:rFonts w:cs="Times New Roman"/>
          <w:color w:val="auto"/>
          <w:szCs w:val="32"/>
          <w:highlight w:val="none"/>
        </w:rPr>
      </w:pPr>
      <w:r>
        <w:rPr>
          <w:rFonts w:cs="Times New Roman"/>
          <w:color w:val="auto"/>
          <w:szCs w:val="32"/>
          <w:highlight w:val="none"/>
        </w:rPr>
        <w:t>（2）获得过“全国最美大学生”、“中国大学生年度人物”、“中国大学生年度人物”提名、全国优秀共产党员、全国时代楷模、全国道德模范、感动中国“十大年度人物”、中国青年五四奖章、全国五一劳动奖章等有影响力的全国性荣誉称号。</w:t>
      </w:r>
    </w:p>
    <w:p w14:paraId="00D63FB7">
      <w:pPr>
        <w:spacing w:line="560" w:lineRule="exact"/>
        <w:ind w:firstLine="640" w:firstLineChars="200"/>
        <w:rPr>
          <w:rFonts w:cs="Times New Roman"/>
          <w:color w:val="auto"/>
          <w:szCs w:val="32"/>
          <w:highlight w:val="none"/>
        </w:rPr>
      </w:pPr>
      <w:r>
        <w:rPr>
          <w:rFonts w:cs="Times New Roman"/>
          <w:color w:val="auto"/>
          <w:szCs w:val="32"/>
          <w:highlight w:val="none"/>
        </w:rPr>
        <w:t>（3）学生利用所学的专业知识在服务地方经济发展中作出突出贡献，其成果实施、技术应用或提出的具体发展措施得到当地政府采纳，对地方经济建设和社会发展推动作用明显，取得特别突出的经济效益或社会效益。除导师外学生作为第一负责人的研究项目产生的专利及其成果转化、授权金额在500万元以上；学生作为法定代表人创办企业获得500万元以上融资或年营业额500万元以上；学生作为团队主要负责人的团队事迹获中央电视台、《人民日报》《光明日报》《经济日报》等国家权威媒体正向宣传报道。</w:t>
      </w:r>
    </w:p>
    <w:p w14:paraId="7E07ADBE">
      <w:pPr>
        <w:ind w:firstLine="640" w:firstLineChars="200"/>
        <w:jc w:val="left"/>
        <w:rPr>
          <w:rFonts w:cs="Times New Roman"/>
          <w:color w:val="auto"/>
          <w:szCs w:val="32"/>
          <w:highlight w:val="none"/>
        </w:rPr>
      </w:pPr>
      <w:r>
        <w:rPr>
          <w:rFonts w:cs="Times New Roman"/>
          <w:color w:val="auto"/>
          <w:szCs w:val="32"/>
          <w:highlight w:val="none"/>
        </w:rPr>
        <w:t>（4）在中国国际大学生创新大赛（原中国国际“互联网+”大学生创新创业大赛）、“挑战杯”全国大学生课外学术科技作品竞赛及</w:t>
      </w:r>
      <w:bookmarkStart w:id="6" w:name="OLE_LINK3"/>
      <w:r>
        <w:rPr>
          <w:rFonts w:cs="Times New Roman"/>
          <w:color w:val="auto"/>
          <w:szCs w:val="32"/>
          <w:highlight w:val="none"/>
        </w:rPr>
        <w:t>中国研究生创新实践系列大赛中获得过国家级</w:t>
      </w:r>
      <w:bookmarkEnd w:id="6"/>
      <w:r>
        <w:rPr>
          <w:rFonts w:cs="Times New Roman"/>
          <w:color w:val="auto"/>
          <w:szCs w:val="32"/>
          <w:highlight w:val="none"/>
        </w:rPr>
        <w:t>二等奖（银奖）及以上，且在项目中排名前3或担任路演人。</w:t>
      </w:r>
    </w:p>
    <w:p w14:paraId="47C4AF41">
      <w:pPr>
        <w:spacing w:line="560" w:lineRule="exact"/>
        <w:ind w:firstLine="640" w:firstLineChars="200"/>
        <w:rPr>
          <w:rFonts w:cs="Times New Roman"/>
          <w:color w:val="auto"/>
          <w:szCs w:val="32"/>
          <w:highlight w:val="none"/>
        </w:rPr>
      </w:pPr>
      <w:r>
        <w:rPr>
          <w:rFonts w:cs="Times New Roman"/>
          <w:color w:val="auto"/>
          <w:szCs w:val="32"/>
          <w:highlight w:val="none"/>
        </w:rPr>
        <w:t>第十三条 其他年级奖学金评定条件</w:t>
      </w:r>
    </w:p>
    <w:p w14:paraId="30D53CE6">
      <w:pPr>
        <w:spacing w:line="560" w:lineRule="exact"/>
        <w:ind w:firstLine="640" w:firstLineChars="200"/>
        <w:rPr>
          <w:rFonts w:hint="default" w:eastAsia="仿宋_GB2312" w:cs="Times New Roman"/>
          <w:color w:val="auto"/>
          <w:szCs w:val="32"/>
          <w:highlight w:val="none"/>
          <w:lang w:val="en-US" w:eastAsia="zh-CN"/>
        </w:rPr>
      </w:pPr>
      <w:r>
        <w:rPr>
          <w:rFonts w:cs="Times New Roman"/>
          <w:color w:val="auto"/>
          <w:szCs w:val="32"/>
          <w:highlight w:val="none"/>
        </w:rPr>
        <w:t>其他年级奖学金主要奖励德智体美劳等方面综合表现突出的研究生。对研究生个人综合评价，按德育、智育、体育、美育、劳动教育等五个维度开展，所有评定项目及综合成绩均以百分制计分，其中德育、体育、美育、劳动教育基础分积分70分。德育设置负面清单，低于60分者取消参评资格。</w:t>
      </w:r>
      <w:r>
        <w:rPr>
          <w:rFonts w:hint="eastAsia" w:cs="Times New Roman"/>
          <w:color w:val="auto"/>
          <w:szCs w:val="32"/>
          <w:highlight w:val="none"/>
          <w:lang w:val="en-US" w:eastAsia="zh-CN"/>
        </w:rPr>
        <w:t>具体量化指标见《</w:t>
      </w:r>
      <w:r>
        <w:rPr>
          <w:rFonts w:cs="Times New Roman"/>
          <w:color w:val="auto"/>
          <w:szCs w:val="32"/>
          <w:highlight w:val="none"/>
        </w:rPr>
        <w:t>贵州大学</w:t>
      </w:r>
      <w:r>
        <w:rPr>
          <w:rFonts w:hint="eastAsia" w:cs="Times New Roman"/>
          <w:color w:val="auto"/>
          <w:szCs w:val="32"/>
          <w:highlight w:val="none"/>
          <w:lang w:val="en-US" w:eastAsia="zh-CN"/>
        </w:rPr>
        <w:t>公共管理学院</w:t>
      </w:r>
      <w:r>
        <w:rPr>
          <w:rFonts w:cs="Times New Roman"/>
          <w:color w:val="auto"/>
          <w:szCs w:val="32"/>
          <w:highlight w:val="none"/>
        </w:rPr>
        <w:t>研究生奖学金量化评分细则（</w:t>
      </w:r>
      <w:r>
        <w:rPr>
          <w:rFonts w:hint="eastAsia" w:cs="Times New Roman"/>
          <w:color w:val="auto"/>
          <w:szCs w:val="32"/>
          <w:highlight w:val="none"/>
          <w:lang w:val="en-US" w:eastAsia="zh-CN"/>
        </w:rPr>
        <w:t>国家奖学金、</w:t>
      </w:r>
      <w:r>
        <w:rPr>
          <w:rFonts w:cs="Times New Roman"/>
          <w:color w:val="auto"/>
          <w:szCs w:val="32"/>
          <w:highlight w:val="none"/>
        </w:rPr>
        <w:t>等级奖学金）</w:t>
      </w:r>
      <w:r>
        <w:rPr>
          <w:rFonts w:hint="eastAsia" w:cs="Times New Roman"/>
          <w:color w:val="auto"/>
          <w:szCs w:val="32"/>
          <w:highlight w:val="none"/>
          <w:lang w:val="en-US" w:eastAsia="zh-CN"/>
        </w:rPr>
        <w:t>》</w:t>
      </w:r>
    </w:p>
    <w:p w14:paraId="043D7495">
      <w:pPr>
        <w:spacing w:line="560" w:lineRule="exact"/>
        <w:ind w:firstLine="640" w:firstLineChars="200"/>
        <w:rPr>
          <w:rFonts w:hint="default" w:eastAsia="仿宋_GB2312" w:cs="Times New Roman"/>
          <w:color w:val="auto"/>
          <w:szCs w:val="32"/>
          <w:highlight w:val="none"/>
          <w:lang w:val="en-US" w:eastAsia="zh-CN"/>
        </w:rPr>
      </w:pPr>
      <w:r>
        <w:rPr>
          <w:rFonts w:cs="Times New Roman"/>
          <w:color w:val="auto"/>
          <w:szCs w:val="32"/>
          <w:highlight w:val="none"/>
        </w:rPr>
        <w:t>第十</w:t>
      </w:r>
      <w:r>
        <w:rPr>
          <w:rFonts w:hint="eastAsia" w:cs="Times New Roman"/>
          <w:color w:val="auto"/>
          <w:szCs w:val="32"/>
          <w:highlight w:val="none"/>
          <w:lang w:val="en-US" w:eastAsia="zh-CN"/>
        </w:rPr>
        <w:t>四</w:t>
      </w:r>
      <w:r>
        <w:rPr>
          <w:rFonts w:cs="Times New Roman"/>
          <w:color w:val="auto"/>
          <w:szCs w:val="32"/>
          <w:highlight w:val="none"/>
        </w:rPr>
        <w:t>条 单项奖学金主要奖励践行习近平新时代中国特色社会主义思想有成效，服务贵州地方经济社会发展有贡献，开展社会活动和参加社会工作有成绩，创新创业有成果的研究生。申请单项奖学金的学生可以同时申请国家奖学金、学业奖学金。</w:t>
      </w:r>
      <w:r>
        <w:rPr>
          <w:rFonts w:hint="eastAsia" w:cs="Times New Roman"/>
          <w:color w:val="auto"/>
          <w:szCs w:val="32"/>
          <w:highlight w:val="none"/>
          <w:lang w:val="en-US" w:eastAsia="zh-CN"/>
        </w:rPr>
        <w:t>具体量化指标见《</w:t>
      </w:r>
      <w:r>
        <w:rPr>
          <w:rFonts w:cs="Times New Roman"/>
          <w:color w:val="auto"/>
          <w:szCs w:val="32"/>
          <w:highlight w:val="none"/>
        </w:rPr>
        <w:t>贵州大学</w:t>
      </w:r>
      <w:r>
        <w:rPr>
          <w:rFonts w:hint="eastAsia" w:cs="Times New Roman"/>
          <w:color w:val="auto"/>
          <w:szCs w:val="32"/>
          <w:highlight w:val="none"/>
          <w:lang w:val="en-US" w:eastAsia="zh-CN"/>
        </w:rPr>
        <w:t>公共管理学院</w:t>
      </w:r>
      <w:r>
        <w:rPr>
          <w:rFonts w:cs="Times New Roman"/>
          <w:color w:val="auto"/>
          <w:szCs w:val="32"/>
          <w:highlight w:val="none"/>
        </w:rPr>
        <w:t>研究生奖学金量化评分细则（</w:t>
      </w:r>
      <w:r>
        <w:rPr>
          <w:rFonts w:hint="eastAsia" w:cs="Times New Roman"/>
          <w:color w:val="auto"/>
          <w:szCs w:val="32"/>
          <w:highlight w:val="none"/>
          <w:lang w:val="en-US" w:eastAsia="zh-CN"/>
        </w:rPr>
        <w:t>单项奖</w:t>
      </w:r>
      <w:r>
        <w:rPr>
          <w:rFonts w:cs="Times New Roman"/>
          <w:color w:val="auto"/>
          <w:szCs w:val="32"/>
          <w:highlight w:val="none"/>
        </w:rPr>
        <w:t>）</w:t>
      </w:r>
      <w:r>
        <w:rPr>
          <w:rFonts w:hint="eastAsia" w:cs="Times New Roman"/>
          <w:color w:val="auto"/>
          <w:szCs w:val="32"/>
          <w:highlight w:val="none"/>
          <w:lang w:val="en-US" w:eastAsia="zh-CN"/>
        </w:rPr>
        <w:t>》</w:t>
      </w:r>
    </w:p>
    <w:p w14:paraId="7486F499">
      <w:pPr>
        <w:spacing w:line="560" w:lineRule="exact"/>
        <w:ind w:firstLine="640" w:firstLineChars="200"/>
        <w:rPr>
          <w:rFonts w:cs="Times New Roman"/>
          <w:color w:val="auto"/>
          <w:szCs w:val="32"/>
          <w:highlight w:val="none"/>
        </w:rPr>
      </w:pPr>
      <w:bookmarkStart w:id="7" w:name="OLE_LINK4"/>
      <w:r>
        <w:rPr>
          <w:rFonts w:cs="Times New Roman"/>
          <w:color w:val="auto"/>
          <w:szCs w:val="32"/>
          <w:highlight w:val="none"/>
        </w:rPr>
        <w:t>第十</w:t>
      </w:r>
      <w:r>
        <w:rPr>
          <w:rFonts w:hint="eastAsia" w:cs="Times New Roman"/>
          <w:color w:val="auto"/>
          <w:szCs w:val="32"/>
          <w:highlight w:val="none"/>
          <w:lang w:val="en-US" w:eastAsia="zh-CN"/>
        </w:rPr>
        <w:t>五</w:t>
      </w:r>
      <w:r>
        <w:rPr>
          <w:rFonts w:cs="Times New Roman"/>
          <w:color w:val="auto"/>
          <w:szCs w:val="32"/>
          <w:highlight w:val="none"/>
        </w:rPr>
        <w:t xml:space="preserve">条 </w:t>
      </w:r>
      <w:bookmarkStart w:id="8" w:name="OLE_LINK5"/>
      <w:r>
        <w:rPr>
          <w:rFonts w:cs="Times New Roman"/>
          <w:color w:val="auto"/>
          <w:szCs w:val="32"/>
          <w:highlight w:val="none"/>
        </w:rPr>
        <w:t>国家奖学金设置直荐条件，学生直荐材料由培养单位初审，校学生评优评奖委员会审议。除满足基本条件外，学生还须满足以下条件之一：</w:t>
      </w:r>
    </w:p>
    <w:p w14:paraId="32B58AAF">
      <w:pPr>
        <w:spacing w:line="560" w:lineRule="exact"/>
        <w:ind w:firstLine="640" w:firstLineChars="200"/>
        <w:rPr>
          <w:rFonts w:cs="Times New Roman"/>
          <w:color w:val="auto"/>
          <w:szCs w:val="32"/>
          <w:highlight w:val="none"/>
        </w:rPr>
      </w:pPr>
      <w:r>
        <w:rPr>
          <w:rFonts w:cs="Times New Roman"/>
          <w:color w:val="auto"/>
          <w:szCs w:val="32"/>
          <w:highlight w:val="none"/>
        </w:rPr>
        <w:t>1.学生在《Nature》《Science》《Cell》主刊、《中国社会科学》以第一作者发表学术论文1篇及以上且见刊。</w:t>
      </w:r>
    </w:p>
    <w:p w14:paraId="327C4225">
      <w:pPr>
        <w:spacing w:line="560" w:lineRule="exact"/>
        <w:ind w:firstLine="640" w:firstLineChars="200"/>
        <w:rPr>
          <w:rFonts w:cs="Times New Roman"/>
          <w:color w:val="auto"/>
          <w:szCs w:val="32"/>
          <w:highlight w:val="none"/>
        </w:rPr>
      </w:pPr>
      <w:r>
        <w:rPr>
          <w:rFonts w:cs="Times New Roman"/>
          <w:color w:val="auto"/>
          <w:szCs w:val="32"/>
          <w:highlight w:val="none"/>
        </w:rPr>
        <w:t>2.获得过“全国最美大学生”、“中国大学生年度人物”、“中国大学生年度人物”提名、全国高校“百名研究生党员标兵”、全国优秀共产党员、全国时代楷模、全国道德模范、感动中国“十大年度人物”、中国青年五四奖章、全国五一劳动奖章、担任支部书记（或老师担任支部书记，学生担任支部副书记）期间所属支部获全国高校“百个研究生样板党支部”等有影响力的全国性荣誉称号。</w:t>
      </w:r>
    </w:p>
    <w:p w14:paraId="1C9D10B2">
      <w:pPr>
        <w:spacing w:line="560" w:lineRule="exact"/>
        <w:ind w:firstLine="640" w:firstLineChars="200"/>
        <w:rPr>
          <w:rFonts w:cs="Times New Roman"/>
          <w:color w:val="auto"/>
          <w:szCs w:val="32"/>
          <w:highlight w:val="none"/>
        </w:rPr>
      </w:pPr>
      <w:r>
        <w:rPr>
          <w:rFonts w:cs="Times New Roman"/>
          <w:color w:val="auto"/>
          <w:szCs w:val="32"/>
          <w:highlight w:val="none"/>
        </w:rPr>
        <w:t>3.学生利用所学的专业知识在服务地方经济发展中作出突出贡献，其成果实施、技术应用或提出的具体发展措施得到当地政府采纳，对地方经济建设和社会发展推动作用明显，取得特别突出的经济效益或社会效益。除导师外学生作为第一负责人的研究项目产生的专利及其成果转化、授权金额在1000万元以上；学生个人事迹获中央电视台新闻联播、《求是》《人民日报》《光明日报》《经济日报》头版等国家权威媒体正向宣传报道。</w:t>
      </w:r>
    </w:p>
    <w:p w14:paraId="2F43D796">
      <w:pPr>
        <w:spacing w:line="560" w:lineRule="exact"/>
        <w:ind w:firstLine="640" w:firstLineChars="200"/>
        <w:rPr>
          <w:rFonts w:cs="Times New Roman"/>
          <w:color w:val="auto"/>
          <w:szCs w:val="32"/>
          <w:highlight w:val="none"/>
        </w:rPr>
      </w:pPr>
      <w:r>
        <w:rPr>
          <w:rFonts w:cs="Times New Roman"/>
          <w:color w:val="auto"/>
          <w:szCs w:val="32"/>
          <w:highlight w:val="none"/>
        </w:rPr>
        <w:t>第十</w:t>
      </w:r>
      <w:r>
        <w:rPr>
          <w:rFonts w:hint="eastAsia" w:cs="Times New Roman"/>
          <w:color w:val="auto"/>
          <w:szCs w:val="32"/>
          <w:highlight w:val="none"/>
          <w:lang w:val="en-US" w:eastAsia="zh-CN"/>
        </w:rPr>
        <w:t>六</w:t>
      </w:r>
      <w:r>
        <w:rPr>
          <w:rFonts w:cs="Times New Roman"/>
          <w:color w:val="auto"/>
          <w:szCs w:val="32"/>
          <w:highlight w:val="none"/>
        </w:rPr>
        <w:t>条 申报特等奖学金除满足基本条件外，学生还须满足以下条件之一：</w:t>
      </w:r>
    </w:p>
    <w:p w14:paraId="3AA29872">
      <w:pPr>
        <w:spacing w:line="560" w:lineRule="exact"/>
        <w:ind w:firstLine="640" w:firstLineChars="200"/>
        <w:rPr>
          <w:rFonts w:cs="Times New Roman"/>
          <w:color w:val="auto"/>
          <w:szCs w:val="32"/>
          <w:highlight w:val="none"/>
        </w:rPr>
      </w:pPr>
      <w:r>
        <w:rPr>
          <w:rFonts w:cs="Times New Roman"/>
          <w:color w:val="auto"/>
          <w:szCs w:val="32"/>
          <w:highlight w:val="none"/>
        </w:rPr>
        <w:t>1.学生在SCI一区、SSCI Q2区（JCR分区）、CSSCI来源期刊（不含集刊、扩展版来源期刊）及以上，以第一作者发表学术论文1篇及以上且见刊。其中，在自然指数期刊、IF≥10期刊、SSCI Q1区（JCR分区）、人文社科一级学报及以上以第一作者发表学术论文的学生优先参评。</w:t>
      </w:r>
    </w:p>
    <w:p w14:paraId="2807CDEC">
      <w:pPr>
        <w:spacing w:line="560" w:lineRule="exact"/>
        <w:ind w:firstLine="640" w:firstLineChars="200"/>
        <w:rPr>
          <w:rFonts w:cs="Times New Roman"/>
          <w:color w:val="auto"/>
          <w:szCs w:val="32"/>
          <w:highlight w:val="none"/>
        </w:rPr>
      </w:pPr>
      <w:r>
        <w:rPr>
          <w:rFonts w:cs="Times New Roman"/>
          <w:color w:val="auto"/>
          <w:szCs w:val="32"/>
          <w:highlight w:val="none"/>
        </w:rPr>
        <w:t>2.获得最美大学生、大学生年度人物、优秀共产党员、青年五四奖章、五一劳动奖章、道德模范等省部级荣誉称号。</w:t>
      </w:r>
    </w:p>
    <w:p w14:paraId="106AFEC8">
      <w:pPr>
        <w:spacing w:line="560" w:lineRule="exact"/>
        <w:ind w:firstLine="640" w:firstLineChars="200"/>
        <w:rPr>
          <w:rFonts w:cs="Times New Roman"/>
          <w:color w:val="auto"/>
          <w:szCs w:val="32"/>
          <w:highlight w:val="none"/>
        </w:rPr>
      </w:pPr>
      <w:r>
        <w:rPr>
          <w:rFonts w:cs="Times New Roman"/>
          <w:color w:val="auto"/>
          <w:szCs w:val="32"/>
          <w:highlight w:val="none"/>
        </w:rPr>
        <w:t>3.学生利用所学的专业知识在服务地方经济发展中作出突出贡献，其成果实施、技术应用或提出的具体发展措施得到当地政府采纳，对地方经济建设和社会发展推动作用明显，取得特别突出的经济效益或社会效益，除导师外学生作为第一负责人的研究项目产生的专利及其成果转化、授权金额在500万元以上。</w:t>
      </w:r>
    </w:p>
    <w:p w14:paraId="7D03201A">
      <w:pPr>
        <w:spacing w:line="560" w:lineRule="exact"/>
        <w:ind w:firstLine="640" w:firstLineChars="200"/>
        <w:rPr>
          <w:rFonts w:cs="Times New Roman"/>
          <w:color w:val="auto"/>
          <w:szCs w:val="32"/>
          <w:highlight w:val="none"/>
        </w:rPr>
      </w:pPr>
      <w:r>
        <w:rPr>
          <w:rFonts w:cs="Times New Roman"/>
          <w:color w:val="auto"/>
          <w:szCs w:val="32"/>
          <w:highlight w:val="none"/>
        </w:rPr>
        <w:t>4.在中国国际大学生创新大赛（原中国国际“互联网+”大学生创新创业大赛）、“挑战杯”全国大学生课外学术科技作品竞赛中获得国家级最高奖项，且在项目中排名前2或担任路演人；在中国研究生创新实践系列大赛中取得国家级最高奖，且在项目中排名第1或担任路演人。</w:t>
      </w:r>
    </w:p>
    <w:bookmarkEnd w:id="7"/>
    <w:bookmarkEnd w:id="8"/>
    <w:p w14:paraId="593CCCF1">
      <w:pPr>
        <w:spacing w:line="560" w:lineRule="exact"/>
        <w:ind w:firstLine="640" w:firstLineChars="200"/>
        <w:rPr>
          <w:rFonts w:cs="Times New Roman"/>
          <w:color w:val="auto"/>
          <w:szCs w:val="32"/>
          <w:highlight w:val="none"/>
        </w:rPr>
      </w:pPr>
      <w:r>
        <w:rPr>
          <w:rFonts w:cs="Times New Roman"/>
          <w:color w:val="auto"/>
          <w:szCs w:val="32"/>
          <w:highlight w:val="none"/>
        </w:rPr>
        <w:t>第十</w:t>
      </w:r>
      <w:r>
        <w:rPr>
          <w:rFonts w:hint="eastAsia" w:cs="Times New Roman"/>
          <w:color w:val="auto"/>
          <w:szCs w:val="32"/>
          <w:highlight w:val="none"/>
          <w:lang w:val="en-US" w:eastAsia="zh-CN"/>
        </w:rPr>
        <w:t>七</w:t>
      </w:r>
      <w:r>
        <w:rPr>
          <w:rFonts w:cs="Times New Roman"/>
          <w:color w:val="auto"/>
          <w:szCs w:val="32"/>
          <w:highlight w:val="none"/>
        </w:rPr>
        <w:t xml:space="preserve">条 </w:t>
      </w:r>
      <w:r>
        <w:rPr>
          <w:rFonts w:hint="eastAsia" w:ascii="仿宋_GB2312" w:hAnsi="仿宋" w:eastAsia="仿宋_GB2312" w:cs="仿宋"/>
          <w:color w:val="auto"/>
          <w:sz w:val="32"/>
          <w:szCs w:val="32"/>
          <w:highlight w:val="none"/>
        </w:rPr>
        <w:t>国家奖学金原则上优先评选</w:t>
      </w:r>
      <w:r>
        <w:rPr>
          <w:rFonts w:hint="eastAsia" w:ascii="仿宋_GB2312" w:hAnsi="仿宋" w:cs="仿宋"/>
          <w:color w:val="auto"/>
          <w:sz w:val="32"/>
          <w:szCs w:val="32"/>
          <w:highlight w:val="none"/>
          <w:lang w:val="en-US" w:eastAsia="zh-CN"/>
        </w:rPr>
        <w:t>在CSSCI扩展版来源期刊以上（即包含CSSCI扩展版来源期刊、CSSCI来源期刊、CSSCI收录期刊）、SCI或SSCI三区以上（即包含SCI或SSCI三区、二区、一区）刊物发表学术论文的</w:t>
      </w:r>
      <w:r>
        <w:rPr>
          <w:rFonts w:hint="eastAsia" w:ascii="仿宋_GB2312" w:hAnsi="仿宋" w:eastAsia="仿宋_GB2312" w:cs="仿宋"/>
          <w:color w:val="auto"/>
          <w:sz w:val="32"/>
          <w:szCs w:val="32"/>
          <w:highlight w:val="none"/>
        </w:rPr>
        <w:t>研究生，已获得过研究生国家奖学金的学生不再参与评选国奖。已获得国家奖学金的研究生原则上不再参加同年度学业奖学金评定（单项奖除外）</w:t>
      </w:r>
      <w:r>
        <w:rPr>
          <w:rFonts w:hint="eastAsia" w:ascii="仿宋_GB2312" w:hAnsi="仿宋" w:cs="仿宋"/>
          <w:color w:val="auto"/>
          <w:sz w:val="32"/>
          <w:szCs w:val="32"/>
          <w:highlight w:val="none"/>
          <w:lang w:eastAsia="zh-CN"/>
        </w:rPr>
        <w:t>。</w:t>
      </w:r>
      <w:r>
        <w:rPr>
          <w:rFonts w:hint="eastAsia" w:ascii="仿宋_GB2312" w:hAnsi="仿宋" w:eastAsia="仿宋_GB2312" w:cs="仿宋"/>
          <w:color w:val="auto"/>
          <w:sz w:val="32"/>
          <w:szCs w:val="32"/>
          <w:highlight w:val="none"/>
        </w:rPr>
        <w:t>为奖励科研成果比较突出的学生，对</w:t>
      </w:r>
      <w:r>
        <w:rPr>
          <w:rFonts w:hint="eastAsia" w:ascii="仿宋_GB2312" w:hAnsi="仿宋" w:cs="仿宋"/>
          <w:color w:val="auto"/>
          <w:sz w:val="32"/>
          <w:szCs w:val="32"/>
          <w:highlight w:val="none"/>
          <w:lang w:val="en-US" w:eastAsia="zh-CN"/>
        </w:rPr>
        <w:t>硕士</w:t>
      </w:r>
      <w:r>
        <w:rPr>
          <w:rFonts w:hint="eastAsia" w:ascii="仿宋_GB2312" w:hAnsi="仿宋" w:eastAsia="仿宋_GB2312" w:cs="仿宋"/>
          <w:color w:val="auto"/>
          <w:sz w:val="32"/>
          <w:szCs w:val="32"/>
          <w:highlight w:val="none"/>
        </w:rPr>
        <w:t>三年级的研究生，在国奖评审后又有新的科研成果且符合特等奖学金评定条件的，可以申请特等奖学金。</w:t>
      </w:r>
    </w:p>
    <w:p w14:paraId="652A810B">
      <w:pPr>
        <w:spacing w:line="560" w:lineRule="exact"/>
        <w:ind w:firstLine="640" w:firstLineChars="200"/>
        <w:rPr>
          <w:rFonts w:cs="Times New Roman"/>
          <w:color w:val="auto"/>
          <w:szCs w:val="32"/>
          <w:highlight w:val="none"/>
        </w:rPr>
      </w:pPr>
      <w:r>
        <w:rPr>
          <w:rFonts w:cs="Times New Roman"/>
          <w:color w:val="auto"/>
          <w:szCs w:val="32"/>
          <w:highlight w:val="none"/>
        </w:rPr>
        <w:t>第十</w:t>
      </w:r>
      <w:r>
        <w:rPr>
          <w:rFonts w:hint="eastAsia" w:cs="Times New Roman"/>
          <w:color w:val="auto"/>
          <w:szCs w:val="32"/>
          <w:highlight w:val="none"/>
          <w:lang w:val="en-US" w:eastAsia="zh-CN"/>
        </w:rPr>
        <w:t>八</w:t>
      </w:r>
      <w:r>
        <w:rPr>
          <w:rFonts w:cs="Times New Roman"/>
          <w:color w:val="auto"/>
          <w:szCs w:val="32"/>
          <w:highlight w:val="none"/>
        </w:rPr>
        <w:t>条 申请材料界定时间</w:t>
      </w:r>
    </w:p>
    <w:p w14:paraId="3A1F1B5E">
      <w:pPr>
        <w:spacing w:line="560" w:lineRule="exact"/>
        <w:ind w:firstLine="640" w:firstLineChars="200"/>
        <w:rPr>
          <w:rFonts w:cs="Times New Roman"/>
          <w:color w:val="auto"/>
          <w:szCs w:val="32"/>
          <w:highlight w:val="none"/>
        </w:rPr>
      </w:pPr>
      <w:r>
        <w:rPr>
          <w:rFonts w:cs="Times New Roman"/>
          <w:color w:val="auto"/>
          <w:szCs w:val="32"/>
          <w:highlight w:val="none"/>
        </w:rPr>
        <w:t>1.</w:t>
      </w:r>
      <w:r>
        <w:rPr>
          <w:rFonts w:hint="eastAsia" w:cs="Times New Roman"/>
          <w:color w:val="auto"/>
          <w:szCs w:val="32"/>
          <w:highlight w:val="none"/>
          <w:lang w:eastAsia="zh-CN"/>
        </w:rPr>
        <w:t>博士、</w:t>
      </w:r>
      <w:r>
        <w:rPr>
          <w:rFonts w:hint="eastAsia" w:cs="Times New Roman"/>
          <w:color w:val="auto"/>
          <w:szCs w:val="32"/>
          <w:highlight w:val="none"/>
          <w:lang w:val="en-US" w:eastAsia="zh-CN"/>
        </w:rPr>
        <w:t>硕士</w:t>
      </w:r>
      <w:r>
        <w:rPr>
          <w:rFonts w:cs="Times New Roman"/>
          <w:color w:val="auto"/>
          <w:szCs w:val="32"/>
          <w:highlight w:val="none"/>
        </w:rPr>
        <w:t>一年级研究生申请所用材料须为入学之前取得。</w:t>
      </w:r>
    </w:p>
    <w:p w14:paraId="3FB344CC">
      <w:pPr>
        <w:spacing w:line="560" w:lineRule="exact"/>
        <w:ind w:firstLine="640" w:firstLineChars="200"/>
        <w:rPr>
          <w:rFonts w:cs="Times New Roman"/>
          <w:color w:val="auto"/>
          <w:szCs w:val="32"/>
          <w:highlight w:val="none"/>
        </w:rPr>
      </w:pPr>
      <w:r>
        <w:rPr>
          <w:rFonts w:cs="Times New Roman"/>
          <w:color w:val="auto"/>
          <w:szCs w:val="32"/>
          <w:highlight w:val="none"/>
        </w:rPr>
        <w:t>2.</w:t>
      </w:r>
      <w:r>
        <w:rPr>
          <w:rFonts w:hint="eastAsia" w:cs="Times New Roman"/>
          <w:color w:val="auto"/>
          <w:szCs w:val="32"/>
          <w:highlight w:val="none"/>
          <w:lang w:eastAsia="zh-CN"/>
        </w:rPr>
        <w:t>博士二、三年级及</w:t>
      </w:r>
      <w:r>
        <w:rPr>
          <w:rFonts w:cs="Times New Roman"/>
          <w:color w:val="auto"/>
          <w:szCs w:val="32"/>
          <w:highlight w:val="none"/>
        </w:rPr>
        <w:t>硕士二年级研究生申请所用材料的界定时间，须在上一学年度的9月1日至参评当年的8月31日。</w:t>
      </w:r>
    </w:p>
    <w:p w14:paraId="60F00B74">
      <w:pPr>
        <w:spacing w:line="560" w:lineRule="exact"/>
        <w:ind w:firstLine="640" w:firstLineChars="200"/>
        <w:rPr>
          <w:rFonts w:hint="eastAsia" w:eastAsia="仿宋_GB2312" w:cs="Times New Roman"/>
          <w:color w:val="auto"/>
          <w:szCs w:val="32"/>
          <w:highlight w:val="none"/>
          <w:lang w:val="en-US" w:eastAsia="zh-CN"/>
        </w:rPr>
      </w:pPr>
      <w:r>
        <w:rPr>
          <w:rFonts w:cs="Times New Roman"/>
          <w:color w:val="auto"/>
          <w:szCs w:val="32"/>
          <w:highlight w:val="none"/>
        </w:rPr>
        <w:t>3.</w:t>
      </w:r>
      <w:r>
        <w:rPr>
          <w:rFonts w:hint="eastAsia" w:cs="Times New Roman"/>
          <w:color w:val="auto"/>
          <w:szCs w:val="32"/>
          <w:highlight w:val="none"/>
          <w:lang w:eastAsia="zh-CN"/>
        </w:rPr>
        <w:t>博士四年级、</w:t>
      </w:r>
      <w:r>
        <w:rPr>
          <w:rFonts w:cs="Times New Roman"/>
          <w:color w:val="auto"/>
          <w:szCs w:val="32"/>
          <w:highlight w:val="none"/>
        </w:rPr>
        <w:t>硕士三年级研究生申请所用材料的界定时间，</w:t>
      </w:r>
      <w:r>
        <w:rPr>
          <w:rFonts w:hint="eastAsia" w:cs="Times New Roman"/>
          <w:color w:val="auto"/>
          <w:szCs w:val="32"/>
          <w:highlight w:val="none"/>
          <w:lang w:val="en-US" w:eastAsia="zh-CN"/>
        </w:rPr>
        <w:t>国家奖学金和单项奖申请材料须在</w:t>
      </w:r>
      <w:r>
        <w:rPr>
          <w:rFonts w:cs="Times New Roman"/>
          <w:color w:val="auto"/>
          <w:szCs w:val="32"/>
          <w:highlight w:val="none"/>
        </w:rPr>
        <w:t>上一学年度的9月1日至参评当年的8月31日</w:t>
      </w:r>
      <w:r>
        <w:rPr>
          <w:rFonts w:hint="eastAsia" w:cs="Times New Roman"/>
          <w:color w:val="auto"/>
          <w:szCs w:val="32"/>
          <w:highlight w:val="none"/>
          <w:lang w:eastAsia="zh-CN"/>
        </w:rPr>
        <w:t>，</w:t>
      </w:r>
      <w:r>
        <w:rPr>
          <w:rFonts w:hint="eastAsia" w:cs="Times New Roman"/>
          <w:color w:val="auto"/>
          <w:szCs w:val="32"/>
          <w:highlight w:val="none"/>
          <w:lang w:val="en-US" w:eastAsia="zh-CN"/>
        </w:rPr>
        <w:t>学业奖学金申请材料</w:t>
      </w:r>
      <w:r>
        <w:rPr>
          <w:rFonts w:cs="Times New Roman"/>
          <w:color w:val="auto"/>
          <w:szCs w:val="32"/>
          <w:highlight w:val="none"/>
        </w:rPr>
        <w:t>须在上一学年度的9月1日至参评当年的3月31日</w:t>
      </w:r>
      <w:r>
        <w:rPr>
          <w:rFonts w:hint="eastAsia" w:cs="Times New Roman"/>
          <w:color w:val="auto"/>
          <w:szCs w:val="32"/>
          <w:highlight w:val="none"/>
          <w:lang w:eastAsia="zh-CN"/>
        </w:rPr>
        <w:t>。</w:t>
      </w:r>
    </w:p>
    <w:p w14:paraId="67B900B9">
      <w:pPr>
        <w:spacing w:line="560" w:lineRule="exact"/>
        <w:ind w:firstLine="640" w:firstLineChars="200"/>
        <w:rPr>
          <w:rFonts w:cs="Times New Roman"/>
          <w:color w:val="auto"/>
          <w:szCs w:val="32"/>
          <w:highlight w:val="none"/>
        </w:rPr>
      </w:pPr>
      <w:r>
        <w:rPr>
          <w:rFonts w:cs="Times New Roman"/>
          <w:color w:val="auto"/>
          <w:szCs w:val="32"/>
          <w:highlight w:val="none"/>
        </w:rPr>
        <w:t>第</w:t>
      </w:r>
      <w:r>
        <w:rPr>
          <w:rFonts w:hint="eastAsia" w:cs="Times New Roman"/>
          <w:color w:val="auto"/>
          <w:szCs w:val="32"/>
          <w:highlight w:val="none"/>
          <w:lang w:val="en-US" w:eastAsia="zh-CN"/>
        </w:rPr>
        <w:t>十九</w:t>
      </w:r>
      <w:r>
        <w:rPr>
          <w:rFonts w:cs="Times New Roman"/>
          <w:color w:val="auto"/>
          <w:szCs w:val="32"/>
          <w:highlight w:val="none"/>
        </w:rPr>
        <w:t>条</w:t>
      </w:r>
      <w:bookmarkStart w:id="9" w:name="OLE_LINK2"/>
      <w:r>
        <w:rPr>
          <w:rFonts w:cs="Times New Roman"/>
          <w:color w:val="auto"/>
          <w:szCs w:val="32"/>
          <w:highlight w:val="none"/>
        </w:rPr>
        <w:t xml:space="preserve"> 研究生取得高水平高质量学术成果，为学校高质量发展作出突出贡献的，学生申请材料的提交时间可延长至校学生评优评奖委员会评审会议召开之前。高水平高质量学术成果认定参照特等奖学金评定条件，其申请材料由</w:t>
      </w:r>
      <w:r>
        <w:rPr>
          <w:rFonts w:hint="eastAsia" w:cs="Times New Roman"/>
          <w:color w:val="auto"/>
          <w:szCs w:val="32"/>
          <w:highlight w:val="none"/>
          <w:lang w:val="en-US" w:eastAsia="zh-CN"/>
        </w:rPr>
        <w:t>学院</w:t>
      </w:r>
      <w:r>
        <w:rPr>
          <w:rFonts w:cs="Times New Roman"/>
          <w:color w:val="auto"/>
          <w:szCs w:val="32"/>
          <w:highlight w:val="none"/>
        </w:rPr>
        <w:t>初评，校学生评优评奖委员会审议。</w:t>
      </w:r>
    </w:p>
    <w:p w14:paraId="5FF70983">
      <w:pPr>
        <w:spacing w:line="560" w:lineRule="exact"/>
        <w:ind w:firstLine="640" w:firstLineChars="200"/>
        <w:rPr>
          <w:rFonts w:cs="Times New Roman"/>
          <w:color w:val="auto"/>
          <w:szCs w:val="32"/>
          <w:highlight w:val="none"/>
        </w:rPr>
      </w:pPr>
      <w:r>
        <w:rPr>
          <w:rFonts w:cs="Times New Roman"/>
          <w:color w:val="auto"/>
          <w:szCs w:val="32"/>
          <w:highlight w:val="none"/>
        </w:rPr>
        <w:t>第二十条 在校研究生在中国国际大学生创新大赛（原中国国际“互联网+”大学生创新创业大赛）、“挑战杯”全国大学生课外学术科技作品竞赛中获得国家级最高奖项，且在项目排名前2或担任路演人，可在取得奖项之后，校学生评优评奖委员会评审会议之前，按第</w:t>
      </w:r>
      <w:r>
        <w:rPr>
          <w:rFonts w:hint="eastAsia" w:cs="Times New Roman"/>
          <w:color w:val="auto"/>
          <w:szCs w:val="32"/>
          <w:highlight w:val="none"/>
          <w:lang w:eastAsia="zh-CN"/>
        </w:rPr>
        <w:t>十九</w:t>
      </w:r>
      <w:r>
        <w:rPr>
          <w:rFonts w:cs="Times New Roman"/>
          <w:color w:val="auto"/>
          <w:szCs w:val="32"/>
          <w:highlight w:val="none"/>
        </w:rPr>
        <w:t>条规定执行。每年仅可申请一次，获得奖学金后不能再申请国家奖学金和学业奖学金。</w:t>
      </w:r>
    </w:p>
    <w:bookmarkEnd w:id="9"/>
    <w:p w14:paraId="72E179BB">
      <w:pPr>
        <w:spacing w:line="560" w:lineRule="exact"/>
        <w:jc w:val="center"/>
        <w:rPr>
          <w:rFonts w:ascii="黑体" w:hAnsi="黑体" w:eastAsia="黑体" w:cs="仿宋"/>
          <w:b/>
          <w:bCs/>
          <w:color w:val="auto"/>
          <w:sz w:val="32"/>
          <w:szCs w:val="32"/>
          <w:highlight w:val="none"/>
        </w:rPr>
      </w:pPr>
      <w:r>
        <w:rPr>
          <w:rFonts w:hint="eastAsia" w:ascii="黑体" w:hAnsi="黑体" w:eastAsia="黑体" w:cs="仿宋"/>
          <w:b/>
          <w:bCs/>
          <w:color w:val="auto"/>
          <w:sz w:val="32"/>
          <w:szCs w:val="32"/>
          <w:highlight w:val="none"/>
        </w:rPr>
        <w:t>第</w:t>
      </w:r>
      <w:r>
        <w:rPr>
          <w:rFonts w:hint="eastAsia" w:ascii="黑体" w:hAnsi="黑体" w:eastAsia="黑体" w:cs="仿宋"/>
          <w:b/>
          <w:bCs/>
          <w:color w:val="auto"/>
          <w:sz w:val="32"/>
          <w:szCs w:val="32"/>
          <w:highlight w:val="none"/>
          <w:lang w:val="en-US" w:eastAsia="zh-CN"/>
        </w:rPr>
        <w:t>五</w:t>
      </w:r>
      <w:r>
        <w:rPr>
          <w:rFonts w:hint="eastAsia" w:ascii="黑体" w:hAnsi="黑体" w:eastAsia="黑体" w:cs="仿宋"/>
          <w:b/>
          <w:bCs/>
          <w:color w:val="auto"/>
          <w:sz w:val="32"/>
          <w:szCs w:val="32"/>
          <w:highlight w:val="none"/>
        </w:rPr>
        <w:t>章 总成绩测评分数</w:t>
      </w:r>
    </w:p>
    <w:p w14:paraId="12DBF148">
      <w:pPr>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b w:val="0"/>
          <w:bCs w:val="0"/>
          <w:color w:val="auto"/>
          <w:sz w:val="32"/>
          <w:szCs w:val="32"/>
          <w:highlight w:val="none"/>
        </w:rPr>
        <w:t>第</w:t>
      </w:r>
      <w:r>
        <w:rPr>
          <w:rFonts w:hint="eastAsia" w:ascii="仿宋_GB2312" w:hAnsi="仿宋" w:cs="仿宋"/>
          <w:b w:val="0"/>
          <w:bCs w:val="0"/>
          <w:color w:val="auto"/>
          <w:sz w:val="32"/>
          <w:szCs w:val="32"/>
          <w:highlight w:val="none"/>
          <w:lang w:val="en-US" w:eastAsia="zh-CN"/>
        </w:rPr>
        <w:t>二十一</w:t>
      </w:r>
      <w:r>
        <w:rPr>
          <w:rFonts w:hint="eastAsia" w:ascii="仿宋_GB2312" w:hAnsi="仿宋" w:eastAsia="仿宋_GB2312" w:cs="仿宋"/>
          <w:b w:val="0"/>
          <w:bCs w:val="0"/>
          <w:color w:val="auto"/>
          <w:sz w:val="32"/>
          <w:szCs w:val="32"/>
          <w:highlight w:val="none"/>
        </w:rPr>
        <w:t xml:space="preserve">条 </w:t>
      </w:r>
      <w:r>
        <w:rPr>
          <w:rFonts w:hint="eastAsia" w:ascii="仿宋_GB2312" w:hAnsi="仿宋" w:cs="仿宋"/>
          <w:b w:val="0"/>
          <w:bCs w:val="0"/>
          <w:color w:val="auto"/>
          <w:sz w:val="32"/>
          <w:szCs w:val="32"/>
          <w:highlight w:val="none"/>
          <w:lang w:val="en-US" w:eastAsia="zh-CN"/>
        </w:rPr>
        <w:t>其他年级奖学金（含研究生二、三年级国家奖学金/学业奖学金，及博士二、三、四年级学业奖学金）</w:t>
      </w:r>
      <w:r>
        <w:rPr>
          <w:rFonts w:hint="eastAsia" w:ascii="仿宋_GB2312" w:hAnsi="仿宋" w:eastAsia="仿宋_GB2312" w:cs="仿宋"/>
          <w:b w:val="0"/>
          <w:bCs w:val="0"/>
          <w:color w:val="auto"/>
          <w:sz w:val="32"/>
          <w:szCs w:val="32"/>
          <w:highlight w:val="none"/>
        </w:rPr>
        <w:t>总成</w:t>
      </w:r>
      <w:r>
        <w:rPr>
          <w:rFonts w:hint="eastAsia" w:ascii="仿宋_GB2312" w:hAnsi="仿宋" w:eastAsia="仿宋_GB2312" w:cs="仿宋"/>
          <w:color w:val="auto"/>
          <w:sz w:val="32"/>
          <w:szCs w:val="32"/>
          <w:highlight w:val="none"/>
        </w:rPr>
        <w:t>绩由按德育</w:t>
      </w:r>
      <w:r>
        <w:rPr>
          <w:rFonts w:hint="eastAsia" w:ascii="仿宋_GB2312" w:hAnsi="仿宋" w:cs="仿宋"/>
          <w:color w:val="auto"/>
          <w:sz w:val="32"/>
          <w:szCs w:val="32"/>
          <w:highlight w:val="none"/>
          <w:lang w:val="en-US" w:eastAsia="zh-CN"/>
        </w:rPr>
        <w:t>评价</w:t>
      </w:r>
      <w:r>
        <w:rPr>
          <w:rFonts w:hint="eastAsia" w:ascii="仿宋_GB2312" w:hAnsi="仿宋" w:eastAsia="仿宋_GB2312" w:cs="仿宋"/>
          <w:color w:val="auto"/>
          <w:sz w:val="32"/>
          <w:szCs w:val="32"/>
          <w:highlight w:val="none"/>
        </w:rPr>
        <w:t>、智育</w:t>
      </w:r>
      <w:r>
        <w:rPr>
          <w:rFonts w:hint="eastAsia" w:ascii="仿宋_GB2312" w:hAnsi="仿宋" w:cs="仿宋"/>
          <w:color w:val="auto"/>
          <w:sz w:val="32"/>
          <w:szCs w:val="32"/>
          <w:highlight w:val="none"/>
          <w:lang w:val="en-US" w:eastAsia="zh-CN"/>
        </w:rPr>
        <w:t>评价</w:t>
      </w:r>
      <w:r>
        <w:rPr>
          <w:rFonts w:hint="eastAsia" w:ascii="仿宋_GB2312" w:hAnsi="仿宋" w:eastAsia="仿宋_GB2312" w:cs="仿宋"/>
          <w:color w:val="auto"/>
          <w:sz w:val="32"/>
          <w:szCs w:val="32"/>
          <w:highlight w:val="none"/>
        </w:rPr>
        <w:t>、体育</w:t>
      </w:r>
      <w:r>
        <w:rPr>
          <w:rFonts w:hint="eastAsia" w:ascii="仿宋_GB2312" w:hAnsi="仿宋" w:cs="仿宋"/>
          <w:color w:val="auto"/>
          <w:sz w:val="32"/>
          <w:szCs w:val="32"/>
          <w:highlight w:val="none"/>
          <w:lang w:val="en-US" w:eastAsia="zh-CN"/>
        </w:rPr>
        <w:t>评价</w:t>
      </w:r>
      <w:r>
        <w:rPr>
          <w:rFonts w:hint="eastAsia" w:ascii="仿宋_GB2312" w:hAnsi="仿宋" w:eastAsia="仿宋_GB2312" w:cs="仿宋"/>
          <w:color w:val="auto"/>
          <w:sz w:val="32"/>
          <w:szCs w:val="32"/>
          <w:highlight w:val="none"/>
        </w:rPr>
        <w:t>、美育</w:t>
      </w:r>
      <w:r>
        <w:rPr>
          <w:rFonts w:hint="eastAsia" w:ascii="仿宋_GB2312" w:hAnsi="仿宋" w:cs="仿宋"/>
          <w:color w:val="auto"/>
          <w:sz w:val="32"/>
          <w:szCs w:val="32"/>
          <w:highlight w:val="none"/>
          <w:lang w:val="en-US" w:eastAsia="zh-CN"/>
        </w:rPr>
        <w:t>评价</w:t>
      </w:r>
      <w:r>
        <w:rPr>
          <w:rFonts w:hint="eastAsia" w:ascii="仿宋_GB2312" w:hAnsi="仿宋" w:eastAsia="仿宋_GB2312" w:cs="仿宋"/>
          <w:color w:val="auto"/>
          <w:sz w:val="32"/>
          <w:szCs w:val="32"/>
          <w:highlight w:val="none"/>
        </w:rPr>
        <w:t>、劳育</w:t>
      </w:r>
      <w:r>
        <w:rPr>
          <w:rFonts w:hint="eastAsia" w:ascii="仿宋_GB2312" w:hAnsi="仿宋" w:cs="仿宋"/>
          <w:color w:val="auto"/>
          <w:sz w:val="32"/>
          <w:szCs w:val="32"/>
          <w:highlight w:val="none"/>
          <w:lang w:val="en-US" w:eastAsia="zh-CN"/>
        </w:rPr>
        <w:t>评价</w:t>
      </w:r>
      <w:r>
        <w:rPr>
          <w:rFonts w:hint="eastAsia" w:ascii="仿宋_GB2312" w:hAnsi="仿宋" w:eastAsia="仿宋_GB2312" w:cs="仿宋"/>
          <w:color w:val="auto"/>
          <w:sz w:val="32"/>
          <w:szCs w:val="32"/>
          <w:highlight w:val="none"/>
        </w:rPr>
        <w:t>五个维度分值组成，权重及计算方法如下：</w:t>
      </w:r>
    </w:p>
    <w:p w14:paraId="65A7BDFE">
      <w:pPr>
        <w:spacing w:line="56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rPr>
        <w:t>总分=1</w:t>
      </w:r>
      <w:r>
        <w:rPr>
          <w:rFonts w:hint="eastAsia" w:ascii="仿宋_GB2312" w:hAnsi="仿宋" w:cs="仿宋"/>
          <w:color w:val="auto"/>
          <w:sz w:val="32"/>
          <w:szCs w:val="32"/>
          <w:highlight w:val="none"/>
          <w:lang w:val="en-US" w:eastAsia="zh-CN"/>
        </w:rPr>
        <w:t>5</w:t>
      </w:r>
      <w:r>
        <w:rPr>
          <w:rFonts w:hint="eastAsia" w:ascii="仿宋_GB2312" w:hAnsi="仿宋" w:eastAsia="仿宋_GB2312" w:cs="仿宋"/>
          <w:color w:val="auto"/>
          <w:sz w:val="32"/>
          <w:szCs w:val="32"/>
          <w:highlight w:val="none"/>
        </w:rPr>
        <w:t>%德育</w:t>
      </w:r>
      <w:r>
        <w:rPr>
          <w:rFonts w:hint="eastAsia" w:ascii="仿宋_GB2312" w:hAnsi="仿宋" w:cs="仿宋"/>
          <w:color w:val="auto"/>
          <w:sz w:val="32"/>
          <w:szCs w:val="32"/>
          <w:highlight w:val="none"/>
          <w:lang w:eastAsia="zh-CN"/>
        </w:rPr>
        <w:t>（</w:t>
      </w:r>
      <w:r>
        <w:rPr>
          <w:rFonts w:hint="eastAsia" w:ascii="仿宋_GB2312" w:hAnsi="仿宋" w:cs="仿宋"/>
          <w:color w:val="auto"/>
          <w:sz w:val="32"/>
          <w:szCs w:val="32"/>
          <w:highlight w:val="none"/>
          <w:lang w:val="en-US" w:eastAsia="zh-CN"/>
        </w:rPr>
        <w:t>A</w:t>
      </w:r>
      <w:r>
        <w:rPr>
          <w:rFonts w:hint="eastAsia" w:ascii="仿宋_GB2312" w:hAnsi="仿宋" w:cs="仿宋"/>
          <w:color w:val="auto"/>
          <w:sz w:val="32"/>
          <w:szCs w:val="32"/>
          <w:highlight w:val="none"/>
          <w:lang w:eastAsia="zh-CN"/>
        </w:rPr>
        <w:t>）</w:t>
      </w:r>
      <w:r>
        <w:rPr>
          <w:rFonts w:hint="eastAsia" w:ascii="仿宋_GB2312" w:hAnsi="仿宋" w:eastAsia="仿宋_GB2312" w:cs="仿宋"/>
          <w:color w:val="auto"/>
          <w:sz w:val="32"/>
          <w:szCs w:val="32"/>
          <w:highlight w:val="none"/>
        </w:rPr>
        <w:t>+</w:t>
      </w:r>
      <w:r>
        <w:rPr>
          <w:rFonts w:hint="eastAsia" w:ascii="仿宋_GB2312" w:hAnsi="仿宋" w:cs="仿宋"/>
          <w:color w:val="auto"/>
          <w:sz w:val="32"/>
          <w:szCs w:val="32"/>
          <w:highlight w:val="none"/>
          <w:lang w:val="en-US" w:eastAsia="zh-CN"/>
        </w:rPr>
        <w:t>75</w:t>
      </w:r>
      <w:r>
        <w:rPr>
          <w:rFonts w:hint="eastAsia" w:ascii="仿宋_GB2312" w:hAnsi="仿宋" w:eastAsia="仿宋_GB2312" w:cs="仿宋"/>
          <w:color w:val="auto"/>
          <w:sz w:val="32"/>
          <w:szCs w:val="32"/>
          <w:highlight w:val="none"/>
        </w:rPr>
        <w:t>%智育</w:t>
      </w:r>
      <w:r>
        <w:rPr>
          <w:rFonts w:hint="eastAsia" w:ascii="仿宋_GB2312" w:hAnsi="仿宋" w:cs="仿宋"/>
          <w:color w:val="auto"/>
          <w:sz w:val="32"/>
          <w:szCs w:val="32"/>
          <w:highlight w:val="none"/>
          <w:lang w:eastAsia="zh-CN"/>
        </w:rPr>
        <w:t>（</w:t>
      </w:r>
      <w:r>
        <w:rPr>
          <w:rFonts w:hint="eastAsia" w:ascii="仿宋_GB2312" w:hAnsi="仿宋" w:cs="仿宋"/>
          <w:color w:val="auto"/>
          <w:sz w:val="32"/>
          <w:szCs w:val="32"/>
          <w:highlight w:val="none"/>
          <w:lang w:val="en-US" w:eastAsia="zh-CN"/>
        </w:rPr>
        <w:t>B</w:t>
      </w:r>
      <w:r>
        <w:rPr>
          <w:rFonts w:hint="eastAsia" w:ascii="仿宋_GB2312" w:hAnsi="仿宋" w:cs="仿宋"/>
          <w:color w:val="auto"/>
          <w:sz w:val="32"/>
          <w:szCs w:val="32"/>
          <w:highlight w:val="none"/>
          <w:lang w:eastAsia="zh-CN"/>
        </w:rPr>
        <w:t>）</w:t>
      </w:r>
      <w:r>
        <w:rPr>
          <w:rFonts w:hint="eastAsia" w:ascii="仿宋_GB2312" w:hAnsi="仿宋" w:eastAsia="仿宋_GB2312" w:cs="仿宋"/>
          <w:color w:val="auto"/>
          <w:sz w:val="32"/>
          <w:szCs w:val="32"/>
          <w:highlight w:val="none"/>
        </w:rPr>
        <w:t>+</w:t>
      </w:r>
      <w:r>
        <w:rPr>
          <w:rFonts w:hint="eastAsia" w:ascii="仿宋_GB2312" w:hAnsi="仿宋" w:cs="仿宋"/>
          <w:color w:val="auto"/>
          <w:sz w:val="32"/>
          <w:szCs w:val="32"/>
          <w:highlight w:val="none"/>
          <w:lang w:val="en-US" w:eastAsia="zh-CN"/>
        </w:rPr>
        <w:t>2.5</w:t>
      </w:r>
      <w:r>
        <w:rPr>
          <w:rFonts w:hint="eastAsia" w:ascii="仿宋_GB2312" w:hAnsi="仿宋" w:eastAsia="仿宋_GB2312" w:cs="仿宋"/>
          <w:color w:val="auto"/>
          <w:sz w:val="32"/>
          <w:szCs w:val="32"/>
          <w:highlight w:val="none"/>
        </w:rPr>
        <w:t>%体育</w:t>
      </w:r>
      <w:r>
        <w:rPr>
          <w:rFonts w:hint="eastAsia" w:ascii="仿宋_GB2312" w:hAnsi="仿宋" w:cs="仿宋"/>
          <w:color w:val="auto"/>
          <w:sz w:val="32"/>
          <w:szCs w:val="32"/>
          <w:highlight w:val="none"/>
          <w:lang w:eastAsia="zh-CN"/>
        </w:rPr>
        <w:t>（</w:t>
      </w:r>
      <w:r>
        <w:rPr>
          <w:rFonts w:hint="eastAsia" w:ascii="仿宋_GB2312" w:hAnsi="仿宋" w:cs="仿宋"/>
          <w:color w:val="auto"/>
          <w:sz w:val="32"/>
          <w:szCs w:val="32"/>
          <w:highlight w:val="none"/>
          <w:lang w:val="en-US" w:eastAsia="zh-CN"/>
        </w:rPr>
        <w:t>C</w:t>
      </w:r>
      <w:r>
        <w:rPr>
          <w:rFonts w:hint="eastAsia" w:ascii="仿宋_GB2312" w:hAnsi="仿宋" w:cs="仿宋"/>
          <w:color w:val="auto"/>
          <w:sz w:val="32"/>
          <w:szCs w:val="32"/>
          <w:highlight w:val="none"/>
          <w:lang w:eastAsia="zh-CN"/>
        </w:rPr>
        <w:t>）</w:t>
      </w:r>
      <w:r>
        <w:rPr>
          <w:rFonts w:hint="eastAsia" w:ascii="仿宋_GB2312" w:hAnsi="仿宋" w:cs="仿宋"/>
          <w:color w:val="auto"/>
          <w:sz w:val="32"/>
          <w:szCs w:val="32"/>
          <w:highlight w:val="none"/>
          <w:lang w:val="en-US" w:eastAsia="zh-CN"/>
        </w:rPr>
        <w:t>+2.5%</w:t>
      </w:r>
      <w:r>
        <w:rPr>
          <w:rFonts w:hint="eastAsia" w:ascii="仿宋_GB2312" w:hAnsi="仿宋" w:eastAsia="仿宋_GB2312" w:cs="仿宋"/>
          <w:color w:val="auto"/>
          <w:sz w:val="32"/>
          <w:szCs w:val="32"/>
          <w:highlight w:val="none"/>
        </w:rPr>
        <w:t>美育</w:t>
      </w:r>
      <w:r>
        <w:rPr>
          <w:rFonts w:hint="eastAsia" w:ascii="仿宋_GB2312" w:hAnsi="仿宋" w:cs="仿宋"/>
          <w:color w:val="auto"/>
          <w:sz w:val="32"/>
          <w:szCs w:val="32"/>
          <w:highlight w:val="none"/>
          <w:lang w:eastAsia="zh-CN"/>
        </w:rPr>
        <w:t>（</w:t>
      </w:r>
      <w:r>
        <w:rPr>
          <w:rFonts w:hint="eastAsia" w:ascii="仿宋_GB2312" w:hAnsi="仿宋" w:cs="仿宋"/>
          <w:color w:val="auto"/>
          <w:sz w:val="32"/>
          <w:szCs w:val="32"/>
          <w:highlight w:val="none"/>
          <w:lang w:val="en-US" w:eastAsia="zh-CN"/>
        </w:rPr>
        <w:t>D</w:t>
      </w:r>
      <w:r>
        <w:rPr>
          <w:rFonts w:hint="eastAsia" w:ascii="仿宋_GB2312" w:hAnsi="仿宋" w:cs="仿宋"/>
          <w:color w:val="auto"/>
          <w:sz w:val="32"/>
          <w:szCs w:val="32"/>
          <w:highlight w:val="none"/>
          <w:lang w:eastAsia="zh-CN"/>
        </w:rPr>
        <w:t>）</w:t>
      </w:r>
      <w:r>
        <w:rPr>
          <w:rFonts w:hint="eastAsia" w:ascii="仿宋_GB2312" w:hAnsi="仿宋" w:eastAsia="仿宋_GB2312" w:cs="仿宋"/>
          <w:color w:val="auto"/>
          <w:sz w:val="32"/>
          <w:szCs w:val="32"/>
          <w:highlight w:val="none"/>
        </w:rPr>
        <w:t>+</w:t>
      </w:r>
      <w:r>
        <w:rPr>
          <w:rFonts w:hint="eastAsia" w:ascii="仿宋_GB2312" w:hAnsi="仿宋" w:cs="仿宋"/>
          <w:color w:val="auto"/>
          <w:sz w:val="32"/>
          <w:szCs w:val="32"/>
          <w:highlight w:val="none"/>
          <w:lang w:val="en-US" w:eastAsia="zh-CN"/>
        </w:rPr>
        <w:t>5%</w:t>
      </w:r>
      <w:r>
        <w:rPr>
          <w:rFonts w:hint="eastAsia" w:ascii="仿宋_GB2312" w:hAnsi="仿宋" w:eastAsia="仿宋_GB2312" w:cs="仿宋"/>
          <w:color w:val="auto"/>
          <w:sz w:val="32"/>
          <w:szCs w:val="32"/>
          <w:highlight w:val="none"/>
        </w:rPr>
        <w:t>劳育</w:t>
      </w:r>
      <w:r>
        <w:rPr>
          <w:rFonts w:hint="eastAsia" w:ascii="仿宋_GB2312" w:hAnsi="仿宋" w:cs="仿宋"/>
          <w:color w:val="auto"/>
          <w:sz w:val="32"/>
          <w:szCs w:val="32"/>
          <w:highlight w:val="none"/>
          <w:lang w:eastAsia="zh-CN"/>
        </w:rPr>
        <w:t>（</w:t>
      </w:r>
      <w:r>
        <w:rPr>
          <w:rFonts w:hint="eastAsia" w:ascii="仿宋_GB2312" w:hAnsi="仿宋" w:cs="仿宋"/>
          <w:color w:val="auto"/>
          <w:sz w:val="32"/>
          <w:szCs w:val="32"/>
          <w:highlight w:val="none"/>
          <w:lang w:val="en-US" w:eastAsia="zh-CN"/>
        </w:rPr>
        <w:t>E</w:t>
      </w:r>
      <w:r>
        <w:rPr>
          <w:rFonts w:hint="eastAsia" w:ascii="仿宋_GB2312" w:hAnsi="仿宋" w:cs="仿宋"/>
          <w:color w:val="auto"/>
          <w:sz w:val="32"/>
          <w:szCs w:val="32"/>
          <w:highlight w:val="none"/>
          <w:lang w:eastAsia="zh-CN"/>
        </w:rPr>
        <w:t>）</w:t>
      </w:r>
    </w:p>
    <w:p w14:paraId="19BACB15">
      <w:pPr>
        <w:spacing w:line="560" w:lineRule="exact"/>
        <w:jc w:val="center"/>
        <w:rPr>
          <w:rFonts w:ascii="黑体" w:hAnsi="黑体" w:eastAsia="黑体" w:cs="仿宋"/>
          <w:b/>
          <w:bCs/>
          <w:color w:val="auto"/>
          <w:sz w:val="32"/>
          <w:szCs w:val="32"/>
          <w:highlight w:val="none"/>
        </w:rPr>
      </w:pPr>
      <w:r>
        <w:rPr>
          <w:rFonts w:hint="eastAsia" w:ascii="黑体" w:hAnsi="黑体" w:eastAsia="黑体" w:cs="仿宋"/>
          <w:b/>
          <w:bCs/>
          <w:color w:val="auto"/>
          <w:sz w:val="32"/>
          <w:szCs w:val="32"/>
          <w:highlight w:val="none"/>
        </w:rPr>
        <w:t>第</w:t>
      </w:r>
      <w:r>
        <w:rPr>
          <w:rFonts w:hint="eastAsia" w:ascii="黑体" w:hAnsi="黑体" w:eastAsia="黑体" w:cs="仿宋"/>
          <w:b/>
          <w:bCs/>
          <w:color w:val="auto"/>
          <w:sz w:val="32"/>
          <w:szCs w:val="32"/>
          <w:highlight w:val="none"/>
          <w:lang w:val="en-US" w:eastAsia="zh-CN"/>
        </w:rPr>
        <w:t>六</w:t>
      </w:r>
      <w:r>
        <w:rPr>
          <w:rFonts w:hint="eastAsia" w:ascii="黑体" w:hAnsi="黑体" w:eastAsia="黑体" w:cs="仿宋"/>
          <w:b/>
          <w:bCs/>
          <w:color w:val="auto"/>
          <w:sz w:val="32"/>
          <w:szCs w:val="32"/>
          <w:highlight w:val="none"/>
        </w:rPr>
        <w:t>章 德育</w:t>
      </w:r>
      <w:r>
        <w:rPr>
          <w:rFonts w:hint="eastAsia" w:ascii="黑体" w:hAnsi="黑体" w:eastAsia="黑体" w:cs="仿宋"/>
          <w:b/>
          <w:bCs/>
          <w:color w:val="auto"/>
          <w:sz w:val="32"/>
          <w:szCs w:val="32"/>
          <w:highlight w:val="none"/>
          <w:lang w:val="en-US" w:eastAsia="zh-CN"/>
        </w:rPr>
        <w:t>测评</w:t>
      </w:r>
      <w:r>
        <w:rPr>
          <w:rFonts w:hint="eastAsia" w:ascii="黑体" w:hAnsi="黑体" w:eastAsia="黑体" w:cs="仿宋"/>
          <w:b/>
          <w:bCs/>
          <w:color w:val="auto"/>
          <w:sz w:val="32"/>
          <w:szCs w:val="32"/>
          <w:highlight w:val="none"/>
        </w:rPr>
        <w:t>分数</w:t>
      </w:r>
    </w:p>
    <w:p w14:paraId="4B604733">
      <w:pPr>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b w:val="0"/>
          <w:bCs w:val="0"/>
          <w:color w:val="auto"/>
          <w:sz w:val="32"/>
          <w:szCs w:val="32"/>
          <w:highlight w:val="none"/>
        </w:rPr>
        <w:t>第</w:t>
      </w:r>
      <w:r>
        <w:rPr>
          <w:rFonts w:hint="eastAsia" w:ascii="仿宋_GB2312" w:hAnsi="仿宋" w:cs="仿宋"/>
          <w:b w:val="0"/>
          <w:bCs w:val="0"/>
          <w:color w:val="auto"/>
          <w:sz w:val="32"/>
          <w:szCs w:val="32"/>
          <w:highlight w:val="none"/>
          <w:lang w:val="en-US" w:eastAsia="zh-CN"/>
        </w:rPr>
        <w:t>二十二</w:t>
      </w:r>
      <w:r>
        <w:rPr>
          <w:rFonts w:hint="eastAsia" w:ascii="仿宋_GB2312" w:hAnsi="仿宋" w:eastAsia="仿宋_GB2312" w:cs="仿宋"/>
          <w:b w:val="0"/>
          <w:bCs w:val="0"/>
          <w:color w:val="auto"/>
          <w:sz w:val="32"/>
          <w:szCs w:val="32"/>
          <w:highlight w:val="none"/>
        </w:rPr>
        <w:t xml:space="preserve">条 </w:t>
      </w:r>
      <w:r>
        <w:rPr>
          <w:rStyle w:val="10"/>
          <w:rFonts w:ascii="仿宋_GB2312" w:hAnsi="宋体" w:eastAsia="仿宋_GB2312"/>
          <w:color w:val="auto"/>
          <w:sz w:val="32"/>
          <w:szCs w:val="32"/>
          <w:highlight w:val="none"/>
        </w:rPr>
        <w:t>德育</w:t>
      </w:r>
      <w:r>
        <w:rPr>
          <w:rStyle w:val="10"/>
          <w:rFonts w:hint="default" w:ascii="仿宋_GB2312" w:hAnsi="宋体" w:eastAsia="仿宋_GB2312" w:cs="Times New Roman"/>
          <w:color w:val="auto"/>
          <w:sz w:val="32"/>
          <w:szCs w:val="32"/>
          <w:highlight w:val="none"/>
          <w:lang w:val="en-US" w:eastAsia="zh-CN"/>
        </w:rPr>
        <w:t>评价</w:t>
      </w:r>
      <w:r>
        <w:rPr>
          <w:rStyle w:val="10"/>
          <w:rFonts w:ascii="仿宋_GB2312" w:hAnsi="宋体" w:eastAsia="仿宋_GB2312"/>
          <w:color w:val="auto"/>
          <w:sz w:val="32"/>
          <w:szCs w:val="32"/>
          <w:highlight w:val="none"/>
        </w:rPr>
        <w:t>主要考核</w:t>
      </w:r>
      <w:r>
        <w:rPr>
          <w:rStyle w:val="10"/>
          <w:rFonts w:hint="eastAsia" w:ascii="仿宋_GB2312" w:hAnsi="宋体" w:eastAsia="仿宋_GB2312"/>
          <w:color w:val="auto"/>
          <w:sz w:val="32"/>
          <w:szCs w:val="32"/>
          <w:highlight w:val="none"/>
        </w:rPr>
        <w:t>包括深入学习宣传贯彻习近平新时代中国特色社会主义思想，学习贯彻习近平总书记视察贵州重要讲话精神和对贵州工作重要指示批示精神，以及习近平总书记视察贵州大学时的重要讲话精神的情况；获得党团荣誉、“最美大学生”、中国青年五四奖章、五一劳动奖章、全国高校“百名研究生党员标兵”、担任支部书记（或老师担任支部书记，学生担任支部副书记）期间所属支部获全国高校“百个研究生样板党支部”等荣誉称号的情况；参加研究生党建进宿舍、党建进实验室的情况；参加校院各级研究生组织及工作情况，荣获三好学生、优秀学生干部、先进班集体班干部等情况；个人社会捐助、见义勇为、好人好事等情况。</w:t>
      </w:r>
      <w:r>
        <w:rPr>
          <w:rFonts w:hint="eastAsia" w:ascii="仿宋_GB2312" w:hAnsi="仿宋" w:eastAsia="仿宋_GB2312" w:cs="仿宋"/>
          <w:color w:val="auto"/>
          <w:sz w:val="32"/>
          <w:szCs w:val="32"/>
          <w:highlight w:val="none"/>
        </w:rPr>
        <w:t>德育满分为100分，</w:t>
      </w:r>
      <w:r>
        <w:rPr>
          <w:rStyle w:val="10"/>
          <w:rFonts w:hint="eastAsia" w:ascii="仿宋_GB2312" w:hAnsi="宋体" w:eastAsia="仿宋_GB2312" w:cstheme="minorBidi"/>
          <w:color w:val="auto"/>
          <w:sz w:val="32"/>
          <w:szCs w:val="32"/>
          <w:highlight w:val="none"/>
        </w:rPr>
        <w:t>由</w:t>
      </w:r>
      <w:r>
        <w:rPr>
          <w:rStyle w:val="10"/>
          <w:rFonts w:hint="eastAsia" w:ascii="仿宋_GB2312" w:hAnsi="宋体" w:cstheme="minorBidi"/>
          <w:color w:val="auto"/>
          <w:sz w:val="32"/>
          <w:szCs w:val="32"/>
          <w:highlight w:val="none"/>
          <w:lang w:val="en-US" w:eastAsia="zh-CN"/>
        </w:rPr>
        <w:t>A1</w:t>
      </w:r>
      <w:r>
        <w:rPr>
          <w:rStyle w:val="10"/>
          <w:rFonts w:hint="eastAsia" w:ascii="仿宋_GB2312" w:hAnsi="宋体" w:eastAsia="仿宋_GB2312" w:cstheme="minorBidi"/>
          <w:color w:val="auto"/>
          <w:sz w:val="32"/>
          <w:szCs w:val="32"/>
          <w:highlight w:val="none"/>
          <w:lang w:val="en-US" w:eastAsia="zh-CN"/>
        </w:rPr>
        <w:t>荣誉表彰、</w:t>
      </w:r>
      <w:r>
        <w:rPr>
          <w:rStyle w:val="10"/>
          <w:rFonts w:hint="eastAsia" w:ascii="仿宋_GB2312" w:hAnsi="宋体" w:cstheme="minorBidi"/>
          <w:color w:val="auto"/>
          <w:sz w:val="32"/>
          <w:szCs w:val="32"/>
          <w:highlight w:val="none"/>
          <w:lang w:val="en-US" w:eastAsia="zh-CN"/>
        </w:rPr>
        <w:t>A2</w:t>
      </w:r>
      <w:r>
        <w:rPr>
          <w:rStyle w:val="10"/>
          <w:rFonts w:hint="eastAsia" w:ascii="仿宋_GB2312" w:hAnsi="宋体" w:eastAsia="仿宋_GB2312" w:cstheme="minorBidi"/>
          <w:color w:val="auto"/>
          <w:sz w:val="32"/>
          <w:szCs w:val="32"/>
          <w:highlight w:val="none"/>
          <w:lang w:val="en-US" w:eastAsia="zh-CN"/>
        </w:rPr>
        <w:t>日常表现、</w:t>
      </w:r>
      <w:r>
        <w:rPr>
          <w:rStyle w:val="10"/>
          <w:rFonts w:hint="eastAsia" w:ascii="仿宋_GB2312" w:hAnsi="宋体" w:cstheme="minorBidi"/>
          <w:color w:val="auto"/>
          <w:sz w:val="32"/>
          <w:szCs w:val="32"/>
          <w:highlight w:val="none"/>
          <w:lang w:val="en-US" w:eastAsia="zh-CN"/>
        </w:rPr>
        <w:t>A3</w:t>
      </w:r>
      <w:r>
        <w:rPr>
          <w:rStyle w:val="10"/>
          <w:rFonts w:hint="eastAsia" w:ascii="仿宋_GB2312" w:hAnsi="宋体" w:eastAsia="仿宋_GB2312" w:cstheme="minorBidi"/>
          <w:color w:val="auto"/>
          <w:sz w:val="32"/>
          <w:szCs w:val="32"/>
          <w:highlight w:val="none"/>
          <w:lang w:val="en-US" w:eastAsia="zh-CN"/>
        </w:rPr>
        <w:t>扣分项</w:t>
      </w:r>
      <w:r>
        <w:rPr>
          <w:rStyle w:val="10"/>
          <w:rFonts w:hint="eastAsia" w:ascii="仿宋_GB2312" w:hAnsi="宋体" w:eastAsia="仿宋_GB2312" w:cstheme="minorBidi"/>
          <w:color w:val="auto"/>
          <w:sz w:val="32"/>
          <w:szCs w:val="32"/>
          <w:highlight w:val="none"/>
        </w:rPr>
        <w:t>组成</w:t>
      </w:r>
      <w:r>
        <w:rPr>
          <w:rStyle w:val="10"/>
          <w:rFonts w:ascii="仿宋_GB2312" w:hAnsi="宋体" w:eastAsia="仿宋_GB2312"/>
          <w:color w:val="auto"/>
          <w:sz w:val="32"/>
          <w:szCs w:val="32"/>
          <w:highlight w:val="none"/>
        </w:rPr>
        <w:t>。</w:t>
      </w:r>
      <w:r>
        <w:rPr>
          <w:rFonts w:hint="eastAsia" w:ascii="仿宋_GB2312" w:hAnsi="仿宋" w:cs="仿宋"/>
          <w:color w:val="auto"/>
          <w:sz w:val="32"/>
          <w:szCs w:val="32"/>
          <w:highlight w:val="none"/>
          <w:lang w:val="en-US" w:eastAsia="zh-CN"/>
        </w:rPr>
        <w:t>A1和A2超过30分则不再累计加分。</w:t>
      </w:r>
      <w:r>
        <w:rPr>
          <w:rFonts w:hint="eastAsia" w:ascii="仿宋_GB2312" w:hAnsi="仿宋" w:eastAsia="仿宋_GB2312" w:cs="仿宋"/>
          <w:color w:val="auto"/>
          <w:sz w:val="32"/>
          <w:szCs w:val="32"/>
          <w:highlight w:val="none"/>
        </w:rPr>
        <w:t>德育基础分70分，德育分低于6</w:t>
      </w:r>
      <w:r>
        <w:rPr>
          <w:rFonts w:ascii="仿宋_GB2312" w:hAnsi="仿宋" w:eastAsia="仿宋_GB2312" w:cs="仿宋"/>
          <w:color w:val="auto"/>
          <w:sz w:val="32"/>
          <w:szCs w:val="32"/>
          <w:highlight w:val="none"/>
        </w:rPr>
        <w:t>0</w:t>
      </w:r>
      <w:r>
        <w:rPr>
          <w:rFonts w:hint="eastAsia" w:ascii="仿宋_GB2312" w:hAnsi="仿宋" w:eastAsia="仿宋_GB2312" w:cs="仿宋"/>
          <w:color w:val="auto"/>
          <w:sz w:val="32"/>
          <w:szCs w:val="32"/>
          <w:highlight w:val="none"/>
        </w:rPr>
        <w:t>分者，不予参评。</w:t>
      </w:r>
    </w:p>
    <w:p w14:paraId="6B0E85A0">
      <w:pPr>
        <w:spacing w:line="560" w:lineRule="exact"/>
        <w:jc w:val="center"/>
        <w:rPr>
          <w:rFonts w:hint="eastAsia" w:ascii="仿宋_GB2312" w:hAnsi="仿宋" w:cs="仿宋"/>
          <w:color w:val="auto"/>
          <w:sz w:val="32"/>
          <w:szCs w:val="32"/>
          <w:highlight w:val="none"/>
          <w:lang w:val="en-US" w:eastAsia="zh-CN"/>
        </w:rPr>
      </w:pPr>
      <w:r>
        <w:rPr>
          <w:rFonts w:hint="eastAsia" w:ascii="仿宋_GB2312" w:hAnsi="仿宋" w:cs="仿宋"/>
          <w:color w:val="auto"/>
          <w:sz w:val="32"/>
          <w:szCs w:val="32"/>
          <w:highlight w:val="none"/>
          <w:lang w:val="en-US" w:eastAsia="zh-CN"/>
        </w:rPr>
        <w:t>A</w:t>
      </w:r>
      <w:r>
        <w:rPr>
          <w:rFonts w:hint="eastAsia" w:ascii="仿宋_GB2312" w:hAnsi="仿宋" w:eastAsia="仿宋_GB2312" w:cs="仿宋"/>
          <w:color w:val="auto"/>
          <w:sz w:val="32"/>
          <w:szCs w:val="32"/>
          <w:highlight w:val="none"/>
        </w:rPr>
        <w:t>德育分=</w:t>
      </w:r>
      <w:r>
        <w:rPr>
          <w:rFonts w:hint="eastAsia" w:ascii="仿宋_GB2312" w:hAnsi="仿宋" w:cs="仿宋"/>
          <w:color w:val="auto"/>
          <w:sz w:val="32"/>
          <w:szCs w:val="32"/>
          <w:highlight w:val="none"/>
          <w:lang w:val="en-US" w:eastAsia="zh-CN"/>
        </w:rPr>
        <w:t>70+60%A1荣誉表彰+40%A2日常表现-A3扣分项</w:t>
      </w:r>
    </w:p>
    <w:p w14:paraId="78C2AD2E">
      <w:pPr>
        <w:spacing w:line="560" w:lineRule="exact"/>
        <w:jc w:val="center"/>
        <w:rPr>
          <w:rFonts w:hint="eastAsia" w:ascii="仿宋_GB2312" w:hAnsi="仿宋" w:eastAsia="黑体" w:cs="仿宋"/>
          <w:color w:val="auto"/>
          <w:sz w:val="32"/>
          <w:szCs w:val="32"/>
          <w:highlight w:val="none"/>
          <w:lang w:val="en-US" w:eastAsia="zh-CN"/>
        </w:rPr>
      </w:pPr>
      <w:r>
        <w:rPr>
          <w:rFonts w:hint="eastAsia" w:ascii="黑体" w:hAnsi="黑体" w:eastAsia="黑体" w:cs="仿宋"/>
          <w:b/>
          <w:bCs/>
          <w:color w:val="auto"/>
          <w:sz w:val="32"/>
          <w:szCs w:val="32"/>
          <w:highlight w:val="none"/>
        </w:rPr>
        <w:t>第</w:t>
      </w:r>
      <w:r>
        <w:rPr>
          <w:rFonts w:hint="eastAsia" w:ascii="黑体" w:hAnsi="黑体" w:eastAsia="黑体" w:cs="仿宋"/>
          <w:b/>
          <w:bCs/>
          <w:color w:val="auto"/>
          <w:sz w:val="32"/>
          <w:szCs w:val="32"/>
          <w:highlight w:val="none"/>
          <w:lang w:val="en-US" w:eastAsia="zh-CN"/>
        </w:rPr>
        <w:t>七</w:t>
      </w:r>
      <w:r>
        <w:rPr>
          <w:rFonts w:hint="eastAsia" w:ascii="黑体" w:hAnsi="黑体" w:eastAsia="黑体" w:cs="仿宋"/>
          <w:b/>
          <w:bCs/>
          <w:color w:val="auto"/>
          <w:sz w:val="32"/>
          <w:szCs w:val="32"/>
          <w:highlight w:val="none"/>
        </w:rPr>
        <w:t xml:space="preserve">章 </w:t>
      </w:r>
      <w:r>
        <w:rPr>
          <w:rFonts w:hint="eastAsia" w:ascii="黑体" w:hAnsi="黑体" w:eastAsia="黑体" w:cs="仿宋"/>
          <w:b/>
          <w:bCs/>
          <w:color w:val="auto"/>
          <w:sz w:val="32"/>
          <w:szCs w:val="32"/>
          <w:highlight w:val="none"/>
          <w:lang w:val="en-US" w:eastAsia="zh-CN"/>
        </w:rPr>
        <w:t>智</w:t>
      </w:r>
      <w:r>
        <w:rPr>
          <w:rFonts w:hint="eastAsia" w:ascii="黑体" w:hAnsi="黑体" w:eastAsia="黑体" w:cs="仿宋"/>
          <w:b/>
          <w:bCs/>
          <w:color w:val="auto"/>
          <w:sz w:val="32"/>
          <w:szCs w:val="32"/>
          <w:highlight w:val="none"/>
        </w:rPr>
        <w:t>育</w:t>
      </w:r>
      <w:r>
        <w:rPr>
          <w:rFonts w:hint="eastAsia" w:ascii="黑体" w:hAnsi="黑体" w:eastAsia="黑体" w:cs="仿宋"/>
          <w:b/>
          <w:bCs/>
          <w:color w:val="auto"/>
          <w:sz w:val="32"/>
          <w:szCs w:val="32"/>
          <w:highlight w:val="none"/>
          <w:lang w:val="en-US" w:eastAsia="zh-CN"/>
        </w:rPr>
        <w:t>测评</w:t>
      </w:r>
      <w:r>
        <w:rPr>
          <w:rFonts w:hint="eastAsia" w:ascii="黑体" w:hAnsi="黑体" w:eastAsia="黑体" w:cs="仿宋"/>
          <w:b/>
          <w:bCs/>
          <w:color w:val="auto"/>
          <w:sz w:val="32"/>
          <w:szCs w:val="32"/>
          <w:highlight w:val="none"/>
        </w:rPr>
        <w:t>分数</w:t>
      </w:r>
    </w:p>
    <w:p w14:paraId="3CC86FB2">
      <w:pPr>
        <w:ind w:firstLine="640" w:firstLineChars="200"/>
        <w:rPr>
          <w:rFonts w:hint="eastAsia" w:ascii="仿宋_GB2312" w:hAnsi="仿宋" w:cs="仿宋"/>
          <w:color w:val="auto"/>
          <w:sz w:val="32"/>
          <w:szCs w:val="32"/>
          <w:highlight w:val="none"/>
          <w:lang w:val="en-US" w:eastAsia="zh-CN"/>
        </w:rPr>
      </w:pPr>
      <w:r>
        <w:rPr>
          <w:rFonts w:hint="eastAsia" w:ascii="仿宋_GB2312" w:hAnsi="仿宋" w:eastAsia="仿宋_GB2312" w:cs="仿宋"/>
          <w:b w:val="0"/>
          <w:bCs w:val="0"/>
          <w:color w:val="auto"/>
          <w:sz w:val="32"/>
          <w:szCs w:val="32"/>
          <w:highlight w:val="none"/>
        </w:rPr>
        <w:t>第</w:t>
      </w:r>
      <w:r>
        <w:rPr>
          <w:rFonts w:hint="eastAsia" w:ascii="仿宋_GB2312" w:hAnsi="仿宋" w:cs="仿宋"/>
          <w:b w:val="0"/>
          <w:bCs w:val="0"/>
          <w:color w:val="auto"/>
          <w:sz w:val="32"/>
          <w:szCs w:val="32"/>
          <w:highlight w:val="none"/>
          <w:lang w:val="en-US" w:eastAsia="zh-CN"/>
        </w:rPr>
        <w:t>二十三</w:t>
      </w:r>
      <w:r>
        <w:rPr>
          <w:rFonts w:hint="eastAsia" w:ascii="仿宋_GB2312" w:hAnsi="仿宋" w:eastAsia="仿宋_GB2312" w:cs="仿宋"/>
          <w:b w:val="0"/>
          <w:bCs w:val="0"/>
          <w:color w:val="auto"/>
          <w:sz w:val="32"/>
          <w:szCs w:val="32"/>
          <w:highlight w:val="none"/>
        </w:rPr>
        <w:t xml:space="preserve">条 </w:t>
      </w:r>
      <w:r>
        <w:rPr>
          <w:rFonts w:hint="eastAsia" w:ascii="仿宋_GB2312" w:hAnsi="仿宋" w:cs="仿宋"/>
          <w:color w:val="auto"/>
          <w:sz w:val="32"/>
          <w:szCs w:val="32"/>
          <w:highlight w:val="none"/>
          <w:lang w:val="en-US" w:eastAsia="zh-CN"/>
        </w:rPr>
        <w:t>智育评价主要包括学习成绩、取得学术科研成果、获得创新创业学科竞赛的情况；开办企业、公司的情况；获得发明专利，在国家和省部级重大科研课题研究、关键技术突破、重大决策咨询等工作中的贡献度，在国际会议、国内一级学会主办的学术会议作报告的情况；参加国际交流、交换生、联合培养等情况。智育</w:t>
      </w:r>
      <w:r>
        <w:rPr>
          <w:rFonts w:hint="eastAsia" w:ascii="仿宋_GB2312" w:hAnsi="仿宋" w:eastAsia="仿宋_GB2312" w:cs="仿宋"/>
          <w:color w:val="auto"/>
          <w:sz w:val="32"/>
          <w:szCs w:val="32"/>
          <w:highlight w:val="none"/>
        </w:rPr>
        <w:t>满分为100分，</w:t>
      </w:r>
      <w:r>
        <w:rPr>
          <w:rFonts w:hint="eastAsia" w:ascii="仿宋_GB2312" w:hAnsi="仿宋" w:cs="仿宋"/>
          <w:color w:val="auto"/>
          <w:sz w:val="32"/>
          <w:szCs w:val="32"/>
          <w:highlight w:val="none"/>
          <w:lang w:val="en-US" w:eastAsia="zh-CN"/>
        </w:rPr>
        <w:t>由B1</w:t>
      </w:r>
      <w:r>
        <w:rPr>
          <w:rFonts w:hint="eastAsia" w:ascii="仿宋_GB2312" w:hAnsi="仿宋" w:eastAsia="仿宋_GB2312" w:cs="仿宋"/>
          <w:color w:val="auto"/>
          <w:sz w:val="32"/>
          <w:szCs w:val="32"/>
          <w:highlight w:val="none"/>
        </w:rPr>
        <w:t>课程综合成绩、B</w:t>
      </w:r>
      <w:r>
        <w:rPr>
          <w:rFonts w:hint="eastAsia" w:ascii="仿宋_GB2312" w:hAnsi="仿宋" w:cs="仿宋"/>
          <w:color w:val="auto"/>
          <w:sz w:val="32"/>
          <w:szCs w:val="32"/>
          <w:highlight w:val="none"/>
          <w:lang w:val="en-US" w:eastAsia="zh-CN"/>
        </w:rPr>
        <w:t>2学术论文</w:t>
      </w:r>
      <w:r>
        <w:rPr>
          <w:rFonts w:hint="eastAsia" w:ascii="仿宋_GB2312" w:hAnsi="仿宋" w:eastAsia="仿宋_GB2312" w:cs="仿宋"/>
          <w:color w:val="auto"/>
          <w:sz w:val="32"/>
          <w:szCs w:val="32"/>
          <w:highlight w:val="none"/>
        </w:rPr>
        <w:t>、</w:t>
      </w:r>
      <w:r>
        <w:rPr>
          <w:rFonts w:hint="eastAsia" w:ascii="仿宋_GB2312" w:hAnsi="仿宋" w:cs="仿宋"/>
          <w:color w:val="auto"/>
          <w:sz w:val="32"/>
          <w:szCs w:val="32"/>
          <w:highlight w:val="none"/>
          <w:lang w:val="en-US" w:eastAsia="zh-CN"/>
        </w:rPr>
        <w:t>B3</w:t>
      </w:r>
      <w:r>
        <w:rPr>
          <w:rFonts w:hint="eastAsia" w:ascii="仿宋_GB2312" w:hAnsi="仿宋" w:eastAsia="仿宋_GB2312" w:cs="仿宋"/>
          <w:color w:val="auto"/>
          <w:sz w:val="32"/>
          <w:szCs w:val="32"/>
          <w:highlight w:val="none"/>
        </w:rPr>
        <w:t>学科竞赛</w:t>
      </w:r>
      <w:r>
        <w:rPr>
          <w:rFonts w:hint="eastAsia" w:ascii="仿宋_GB2312" w:hAnsi="仿宋" w:cs="仿宋"/>
          <w:color w:val="auto"/>
          <w:sz w:val="32"/>
          <w:szCs w:val="32"/>
          <w:highlight w:val="none"/>
          <w:lang w:eastAsia="zh-CN"/>
        </w:rPr>
        <w:t>、</w:t>
      </w:r>
      <w:r>
        <w:rPr>
          <w:rFonts w:hint="eastAsia" w:ascii="仿宋_GB2312" w:hAnsi="仿宋" w:cs="仿宋"/>
          <w:color w:val="auto"/>
          <w:sz w:val="32"/>
          <w:szCs w:val="32"/>
          <w:highlight w:val="none"/>
          <w:lang w:val="en-US" w:eastAsia="zh-CN"/>
        </w:rPr>
        <w:t>B4国际交流、B5学术会议、B6知识产权、B7科研项目组成。其中，B2、B3、（B4+B5+B6+B7）超过100则需按转化公式转成百分制（成绩=参评成绩/参评成绩最大值*100%）。</w:t>
      </w:r>
    </w:p>
    <w:p w14:paraId="79719BAE">
      <w:pPr>
        <w:ind w:firstLine="640" w:firstLineChars="200"/>
        <w:rPr>
          <w:rFonts w:hint="eastAsia" w:ascii="仿宋_GB2312" w:hAnsi="仿宋" w:cs="仿宋"/>
          <w:color w:val="auto"/>
          <w:sz w:val="32"/>
          <w:szCs w:val="32"/>
          <w:highlight w:val="none"/>
          <w:lang w:val="en-US" w:eastAsia="zh-CN"/>
        </w:rPr>
      </w:pPr>
    </w:p>
    <w:p w14:paraId="64D5AF0A">
      <w:pPr>
        <w:ind w:firstLine="1600" w:firstLineChars="500"/>
        <w:rPr>
          <w:rFonts w:hint="eastAsia" w:ascii="仿宋_GB2312" w:hAnsi="仿宋" w:cs="仿宋"/>
          <w:color w:val="auto"/>
          <w:sz w:val="32"/>
          <w:szCs w:val="32"/>
          <w:highlight w:val="none"/>
          <w:lang w:val="en-US" w:eastAsia="zh-CN"/>
        </w:rPr>
      </w:pPr>
      <w:r>
        <w:rPr>
          <w:rFonts w:hint="default" w:ascii="仿宋_GB2312" w:hAnsi="仿宋" w:eastAsia="仿宋_GB2312" w:cs="仿宋"/>
          <w:color w:val="auto"/>
          <w:sz w:val="32"/>
          <w:szCs w:val="32"/>
          <w:highlight w:val="none"/>
          <w:lang w:val="en-US"/>
        </w:rPr>
        <mc:AlternateContent>
          <mc:Choice Requires="wps">
            <w:drawing>
              <wp:anchor distT="0" distB="0" distL="114300" distR="114300" simplePos="0" relativeHeight="251659264" behindDoc="0" locked="0" layoutInCell="1" allowOverlap="1">
                <wp:simplePos x="0" y="0"/>
                <wp:positionH relativeFrom="column">
                  <wp:posOffset>922655</wp:posOffset>
                </wp:positionH>
                <wp:positionV relativeFrom="paragraph">
                  <wp:posOffset>188595</wp:posOffset>
                </wp:positionV>
                <wp:extent cx="76200" cy="2035810"/>
                <wp:effectExtent l="38100" t="4445" r="0" b="17145"/>
                <wp:wrapNone/>
                <wp:docPr id="1" name="左大括号 1"/>
                <wp:cNvGraphicFramePr/>
                <a:graphic xmlns:a="http://schemas.openxmlformats.org/drawingml/2006/main">
                  <a:graphicData uri="http://schemas.microsoft.com/office/word/2010/wordprocessingShape">
                    <wps:wsp>
                      <wps:cNvSpPr/>
                      <wps:spPr>
                        <a:xfrm>
                          <a:off x="0" y="0"/>
                          <a:ext cx="76200" cy="2035810"/>
                        </a:xfrm>
                        <a:prstGeom prst="leftBrace">
                          <a:avLst/>
                        </a:prstGeom>
                        <a:noFill/>
                        <a:ln w="635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72.65pt;margin-top:14.85pt;height:160.3pt;width:6pt;z-index:251659264;v-text-anchor:middle;mso-width-relative:page;mso-height-relative:page;" filled="f" stroked="t" coordsize="21600,21600" o:gfxdata="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&#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nDXEXYAAAACgEAAA8AAAAAAAAAAQAgAAAAIgAAAGRy&#10;cy9kb3ducmV2LnhtbFBLAQIUABQAAAAIAIdO4kC90kLBdwIAAOIEAAAOAAAAAAAAAAEAIAAAACcB&#10;AABkcnMvZTJvRG9jLnhtbFBLBQYAAAAABgAGAFkBAAAQBgAAAAA=&#10;" adj="67,10800">
                <v:fill on="f" focussize="0,0"/>
                <v:stroke weight="0.5pt" color="#000000" miterlimit="8" joinstyle="miter"/>
                <v:imagedata o:title=""/>
                <o:lock v:ext="edit" aspectratio="f"/>
              </v:shape>
            </w:pict>
          </mc:Fallback>
        </mc:AlternateContent>
      </w:r>
      <w:r>
        <w:rPr>
          <w:rFonts w:hint="eastAsia" w:ascii="仿宋_GB2312" w:hAnsi="仿宋" w:cs="仿宋"/>
          <w:color w:val="auto"/>
          <w:sz w:val="32"/>
          <w:szCs w:val="32"/>
          <w:highlight w:val="none"/>
          <w:lang w:val="en-US" w:eastAsia="zh-CN"/>
        </w:rPr>
        <w:t>50%B1</w:t>
      </w:r>
      <w:r>
        <w:rPr>
          <w:rFonts w:hint="eastAsia" w:ascii="仿宋_GB2312" w:hAnsi="仿宋" w:eastAsia="仿宋_GB2312" w:cs="仿宋"/>
          <w:color w:val="auto"/>
          <w:sz w:val="32"/>
          <w:szCs w:val="32"/>
          <w:highlight w:val="none"/>
        </w:rPr>
        <w:t>+</w:t>
      </w:r>
      <w:r>
        <w:rPr>
          <w:rFonts w:hint="eastAsia" w:ascii="仿宋_GB2312" w:hAnsi="仿宋" w:cs="仿宋"/>
          <w:color w:val="auto"/>
          <w:sz w:val="32"/>
          <w:szCs w:val="32"/>
          <w:highlight w:val="none"/>
          <w:lang w:val="en-US" w:eastAsia="zh-CN"/>
        </w:rPr>
        <w:t>15%</w:t>
      </w:r>
      <w:r>
        <w:rPr>
          <w:rFonts w:hint="eastAsia" w:ascii="仿宋_GB2312" w:hAnsi="仿宋" w:eastAsia="仿宋_GB2312" w:cs="仿宋"/>
          <w:color w:val="auto"/>
          <w:sz w:val="32"/>
          <w:szCs w:val="32"/>
          <w:highlight w:val="none"/>
        </w:rPr>
        <w:t>B</w:t>
      </w:r>
      <w:r>
        <w:rPr>
          <w:rFonts w:hint="eastAsia" w:ascii="仿宋_GB2312" w:hAnsi="仿宋" w:cs="仿宋"/>
          <w:color w:val="auto"/>
          <w:sz w:val="32"/>
          <w:szCs w:val="32"/>
          <w:highlight w:val="none"/>
          <w:lang w:val="en-US" w:eastAsia="zh-CN"/>
        </w:rPr>
        <w:t>2</w:t>
      </w:r>
      <w:r>
        <w:rPr>
          <w:rFonts w:hint="eastAsia" w:ascii="仿宋_GB2312" w:hAnsi="仿宋" w:eastAsia="仿宋_GB2312" w:cs="仿宋"/>
          <w:color w:val="auto"/>
          <w:sz w:val="32"/>
          <w:szCs w:val="32"/>
          <w:highlight w:val="none"/>
        </w:rPr>
        <w:t>+</w:t>
      </w:r>
      <w:r>
        <w:rPr>
          <w:rFonts w:hint="eastAsia" w:ascii="仿宋_GB2312" w:hAnsi="仿宋" w:cs="仿宋"/>
          <w:color w:val="auto"/>
          <w:sz w:val="32"/>
          <w:szCs w:val="32"/>
          <w:highlight w:val="none"/>
          <w:lang w:val="en-US" w:eastAsia="zh-CN"/>
        </w:rPr>
        <w:t>30%B3+5%（B4+B5+B6+B7）</w:t>
      </w:r>
    </w:p>
    <w:p w14:paraId="140F6DC4">
      <w:pPr>
        <w:ind w:firstLine="1600" w:firstLineChars="5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（研二</w:t>
      </w:r>
      <w:r>
        <w:rPr>
          <w:rFonts w:hint="eastAsia" w:ascii="仿宋_GB2312" w:hAnsi="仿宋" w:cs="仿宋"/>
          <w:color w:val="auto"/>
          <w:sz w:val="32"/>
          <w:szCs w:val="32"/>
          <w:highlight w:val="none"/>
          <w:lang w:eastAsia="zh-CN"/>
        </w:rPr>
        <w:t>、博二</w:t>
      </w:r>
      <w:r>
        <w:rPr>
          <w:rFonts w:hint="eastAsia" w:ascii="仿宋_GB2312" w:hAnsi="仿宋" w:eastAsia="仿宋_GB2312" w:cs="仿宋"/>
          <w:color w:val="auto"/>
          <w:sz w:val="32"/>
          <w:szCs w:val="32"/>
          <w:highlight w:val="none"/>
        </w:rPr>
        <w:t>）</w:t>
      </w:r>
    </w:p>
    <w:p w14:paraId="3506E935">
      <w:pPr>
        <w:ind w:firstLine="1600" w:firstLineChars="500"/>
        <w:rPr>
          <w:rFonts w:hint="eastAsia" w:ascii="仿宋_GB2312" w:hAnsi="仿宋" w:eastAsia="仿宋_GB2312" w:cs="仿宋"/>
          <w:color w:val="auto"/>
          <w:sz w:val="32"/>
          <w:szCs w:val="32"/>
          <w:highlight w:val="none"/>
          <w:lang w:val="en-US" w:eastAsia="zh-CN"/>
        </w:rPr>
      </w:pPr>
      <w:r>
        <w:rPr>
          <w:rFonts w:hint="eastAsia" w:ascii="仿宋_GB2312" w:hAnsi="仿宋" w:cs="仿宋"/>
          <w:color w:val="auto"/>
          <w:sz w:val="32"/>
          <w:szCs w:val="32"/>
          <w:highlight w:val="none"/>
          <w:lang w:val="en-US" w:eastAsia="zh-CN"/>
        </w:rPr>
        <w:t>10%B1+40%</w:t>
      </w:r>
      <w:r>
        <w:rPr>
          <w:rFonts w:hint="eastAsia" w:ascii="仿宋_GB2312" w:hAnsi="仿宋" w:eastAsia="仿宋_GB2312" w:cs="仿宋"/>
          <w:color w:val="auto"/>
          <w:sz w:val="32"/>
          <w:szCs w:val="32"/>
          <w:highlight w:val="none"/>
        </w:rPr>
        <w:t>B</w:t>
      </w:r>
      <w:r>
        <w:rPr>
          <w:rFonts w:hint="eastAsia" w:ascii="仿宋_GB2312" w:hAnsi="仿宋" w:cs="仿宋"/>
          <w:color w:val="auto"/>
          <w:sz w:val="32"/>
          <w:szCs w:val="32"/>
          <w:highlight w:val="none"/>
          <w:lang w:val="en-US" w:eastAsia="zh-CN"/>
        </w:rPr>
        <w:t>2</w:t>
      </w:r>
      <w:r>
        <w:rPr>
          <w:rFonts w:hint="eastAsia" w:ascii="仿宋_GB2312" w:hAnsi="仿宋" w:eastAsia="仿宋_GB2312" w:cs="仿宋"/>
          <w:color w:val="auto"/>
          <w:sz w:val="32"/>
          <w:szCs w:val="32"/>
          <w:highlight w:val="none"/>
        </w:rPr>
        <w:t>+</w:t>
      </w:r>
      <w:r>
        <w:rPr>
          <w:rFonts w:hint="eastAsia" w:ascii="仿宋_GB2312" w:hAnsi="仿宋" w:cs="仿宋"/>
          <w:color w:val="auto"/>
          <w:sz w:val="32"/>
          <w:szCs w:val="32"/>
          <w:highlight w:val="none"/>
          <w:lang w:val="en-US" w:eastAsia="zh-CN"/>
        </w:rPr>
        <w:t>40%B3+10%（B4+B5+B6+B7）</w:t>
      </w:r>
    </w:p>
    <w:p w14:paraId="11F0DD93">
      <w:pPr>
        <w:rPr>
          <w:rFonts w:ascii="仿宋_GB2312" w:hAnsi="仿宋" w:eastAsia="仿宋_GB2312" w:cs="仿宋"/>
          <w:color w:val="auto"/>
          <w:sz w:val="32"/>
          <w:szCs w:val="32"/>
          <w:highlight w:val="none"/>
        </w:rPr>
      </w:pPr>
      <w:r>
        <w:rPr>
          <w:rFonts w:hint="eastAsia" w:ascii="仿宋_GB2312" w:hAnsi="仿宋" w:cs="仿宋"/>
          <w:color w:val="auto"/>
          <w:sz w:val="32"/>
          <w:szCs w:val="32"/>
          <w:highlight w:val="none"/>
          <w:lang w:val="en-US" w:eastAsia="zh-CN"/>
        </w:rPr>
        <w:t>B</w:t>
      </w:r>
      <w:r>
        <w:rPr>
          <w:rFonts w:hint="eastAsia" w:ascii="仿宋_GB2312" w:hAnsi="仿宋" w:eastAsia="仿宋_GB2312" w:cs="仿宋"/>
          <w:color w:val="auto"/>
          <w:sz w:val="32"/>
          <w:szCs w:val="32"/>
          <w:highlight w:val="none"/>
        </w:rPr>
        <w:t>智育分=</w:t>
      </w:r>
      <w:r>
        <w:rPr>
          <w:rFonts w:ascii="仿宋_GB2312" w:hAnsi="仿宋" w:eastAsia="仿宋_GB2312" w:cs="仿宋"/>
          <w:color w:val="auto"/>
          <w:sz w:val="32"/>
          <w:szCs w:val="32"/>
          <w:highlight w:val="none"/>
        </w:rPr>
        <w:t xml:space="preserve"> </w:t>
      </w:r>
      <w:r>
        <w:rPr>
          <w:rFonts w:hint="eastAsia" w:ascii="仿宋_GB2312" w:hAnsi="仿宋" w:eastAsia="仿宋_GB2312" w:cs="仿宋"/>
          <w:color w:val="auto"/>
          <w:sz w:val="32"/>
          <w:szCs w:val="32"/>
          <w:highlight w:val="none"/>
        </w:rPr>
        <w:t>（研三</w:t>
      </w:r>
      <w:r>
        <w:rPr>
          <w:rFonts w:hint="eastAsia" w:ascii="仿宋_GB2312" w:hAnsi="仿宋" w:cs="仿宋"/>
          <w:color w:val="auto"/>
          <w:sz w:val="32"/>
          <w:szCs w:val="32"/>
          <w:highlight w:val="none"/>
          <w:lang w:eastAsia="zh-CN"/>
        </w:rPr>
        <w:t>、博三、博四</w:t>
      </w:r>
      <w:r>
        <w:rPr>
          <w:rFonts w:hint="eastAsia" w:ascii="仿宋_GB2312" w:hAnsi="仿宋" w:eastAsia="仿宋_GB2312" w:cs="仿宋"/>
          <w:color w:val="auto"/>
          <w:sz w:val="32"/>
          <w:szCs w:val="32"/>
          <w:highlight w:val="none"/>
        </w:rPr>
        <w:t>：上一年度有课程成绩）</w:t>
      </w:r>
    </w:p>
    <w:p w14:paraId="12CE207B">
      <w:pPr>
        <w:ind w:firstLine="1600" w:firstLineChars="500"/>
        <w:rPr>
          <w:rFonts w:hint="eastAsia" w:ascii="仿宋_GB2312" w:hAnsi="仿宋" w:eastAsia="仿宋_GB2312" w:cs="仿宋"/>
          <w:color w:val="auto"/>
          <w:sz w:val="32"/>
          <w:szCs w:val="32"/>
          <w:highlight w:val="none"/>
        </w:rPr>
      </w:pPr>
      <w:r>
        <w:rPr>
          <w:rFonts w:hint="eastAsia" w:ascii="仿宋_GB2312" w:hAnsi="仿宋" w:cs="仿宋"/>
          <w:color w:val="auto"/>
          <w:sz w:val="32"/>
          <w:szCs w:val="32"/>
          <w:highlight w:val="none"/>
          <w:lang w:val="en-US" w:eastAsia="zh-CN"/>
        </w:rPr>
        <w:t>50%</w:t>
      </w:r>
      <w:r>
        <w:rPr>
          <w:rFonts w:hint="eastAsia" w:ascii="仿宋_GB2312" w:hAnsi="仿宋" w:eastAsia="仿宋_GB2312" w:cs="仿宋"/>
          <w:color w:val="auto"/>
          <w:sz w:val="32"/>
          <w:szCs w:val="32"/>
          <w:highlight w:val="none"/>
        </w:rPr>
        <w:t>B</w:t>
      </w:r>
      <w:r>
        <w:rPr>
          <w:rFonts w:hint="eastAsia" w:ascii="仿宋_GB2312" w:hAnsi="仿宋" w:cs="仿宋"/>
          <w:color w:val="auto"/>
          <w:sz w:val="32"/>
          <w:szCs w:val="32"/>
          <w:highlight w:val="none"/>
          <w:lang w:val="en-US" w:eastAsia="zh-CN"/>
        </w:rPr>
        <w:t>2</w:t>
      </w:r>
      <w:r>
        <w:rPr>
          <w:rFonts w:hint="eastAsia" w:ascii="仿宋_GB2312" w:hAnsi="仿宋" w:eastAsia="仿宋_GB2312" w:cs="仿宋"/>
          <w:color w:val="auto"/>
          <w:sz w:val="32"/>
          <w:szCs w:val="32"/>
          <w:highlight w:val="none"/>
        </w:rPr>
        <w:t>+</w:t>
      </w:r>
      <w:r>
        <w:rPr>
          <w:rFonts w:hint="eastAsia" w:ascii="仿宋_GB2312" w:hAnsi="仿宋" w:cs="仿宋"/>
          <w:color w:val="auto"/>
          <w:sz w:val="32"/>
          <w:szCs w:val="32"/>
          <w:highlight w:val="none"/>
          <w:lang w:val="en-US" w:eastAsia="zh-CN"/>
        </w:rPr>
        <w:t>40%B3+10%（B4+B5+B6+B7）</w:t>
      </w:r>
    </w:p>
    <w:p w14:paraId="638A59FA">
      <w:pPr>
        <w:ind w:firstLine="1600" w:firstLineChars="5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（研三</w:t>
      </w:r>
      <w:r>
        <w:rPr>
          <w:rFonts w:hint="eastAsia" w:ascii="仿宋_GB2312" w:hAnsi="仿宋" w:cs="仿宋"/>
          <w:color w:val="auto"/>
          <w:sz w:val="32"/>
          <w:szCs w:val="32"/>
          <w:highlight w:val="none"/>
          <w:lang w:eastAsia="zh-CN"/>
        </w:rPr>
        <w:t>、博三、博四</w:t>
      </w:r>
      <w:r>
        <w:rPr>
          <w:rFonts w:hint="eastAsia" w:ascii="仿宋_GB2312" w:hAnsi="仿宋" w:eastAsia="仿宋_GB2312" w:cs="仿宋"/>
          <w:color w:val="auto"/>
          <w:sz w:val="32"/>
          <w:szCs w:val="32"/>
          <w:highlight w:val="none"/>
        </w:rPr>
        <w:t>：上一年度无课程成绩）</w:t>
      </w:r>
    </w:p>
    <w:p w14:paraId="0EF78A74">
      <w:pPr>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b w:val="0"/>
          <w:bCs w:val="0"/>
          <w:color w:val="auto"/>
          <w:sz w:val="32"/>
          <w:szCs w:val="32"/>
          <w:highlight w:val="none"/>
        </w:rPr>
        <w:t>第</w:t>
      </w:r>
      <w:r>
        <w:rPr>
          <w:rFonts w:hint="eastAsia" w:ascii="仿宋_GB2312" w:hAnsi="仿宋" w:cs="仿宋"/>
          <w:b w:val="0"/>
          <w:bCs w:val="0"/>
          <w:color w:val="auto"/>
          <w:sz w:val="32"/>
          <w:szCs w:val="32"/>
          <w:highlight w:val="none"/>
          <w:lang w:val="en-US" w:eastAsia="zh-CN"/>
        </w:rPr>
        <w:t>二十四</w:t>
      </w:r>
      <w:r>
        <w:rPr>
          <w:rFonts w:hint="eastAsia" w:ascii="仿宋_GB2312" w:hAnsi="仿宋" w:eastAsia="仿宋_GB2312" w:cs="仿宋"/>
          <w:b w:val="0"/>
          <w:bCs w:val="0"/>
          <w:color w:val="auto"/>
          <w:sz w:val="32"/>
          <w:szCs w:val="32"/>
          <w:highlight w:val="none"/>
        </w:rPr>
        <w:t xml:space="preserve">条 </w:t>
      </w:r>
      <w:r>
        <w:rPr>
          <w:rFonts w:hint="eastAsia" w:ascii="仿宋_GB2312" w:hAnsi="仿宋" w:eastAsia="仿宋_GB2312" w:cs="仿宋"/>
          <w:color w:val="auto"/>
          <w:sz w:val="32"/>
          <w:szCs w:val="32"/>
          <w:highlight w:val="none"/>
        </w:rPr>
        <w:t>课程综合成绩</w:t>
      </w:r>
      <w:r>
        <w:rPr>
          <w:rFonts w:hint="eastAsia" w:ascii="仿宋_GB2312" w:hAnsi="仿宋" w:cs="仿宋"/>
          <w:color w:val="auto"/>
          <w:sz w:val="32"/>
          <w:szCs w:val="32"/>
          <w:highlight w:val="none"/>
          <w:lang w:val="en-US" w:eastAsia="zh-CN"/>
        </w:rPr>
        <w:t>B1</w:t>
      </w:r>
      <w:r>
        <w:rPr>
          <w:rFonts w:hint="eastAsia" w:ascii="仿宋_GB2312" w:hAnsi="仿宋" w:eastAsia="仿宋_GB2312" w:cs="仿宋"/>
          <w:color w:val="auto"/>
          <w:sz w:val="32"/>
          <w:szCs w:val="32"/>
          <w:highlight w:val="none"/>
        </w:rPr>
        <w:t>由研究生培养方案中学位课和非学位课程成绩组成，权重及计算方法如下：</w:t>
      </w:r>
    </w:p>
    <w:p w14:paraId="0D848148">
      <w:pPr>
        <w:spacing w:line="960" w:lineRule="auto"/>
        <w:ind w:firstLine="480" w:firstLineChars="200"/>
        <w:jc w:val="center"/>
        <w:rPr>
          <w:rFonts w:ascii="仿宋" w:hAnsi="仿宋" w:eastAsia="仿宋" w:cs="仿宋"/>
          <w:color w:val="auto"/>
          <w:position w:val="-32"/>
          <w:sz w:val="24"/>
          <w:highlight w:val="none"/>
        </w:rPr>
      </w:pPr>
      <m:oMathPara>
        <m:oMath>
          <m:r>
            <m:rPr/>
            <w:rPr>
              <w:rFonts w:hint="default" w:ascii="Cambria Math" w:hAnsi="Cambria Math" w:eastAsia="仿宋" w:cs="仿宋"/>
              <w:color w:val="auto"/>
              <w:sz w:val="24"/>
              <w:highlight w:val="none"/>
              <w:lang w:val="en-US" w:eastAsia="zh-CN"/>
            </w:rPr>
            <m:t>B1</m:t>
          </m:r>
          <m:r>
            <m:rPr/>
            <w:rPr>
              <w:rFonts w:ascii="Cambria Math" w:hAnsi="Cambria Math" w:eastAsia="仿宋" w:cs="仿宋"/>
              <w:color w:val="auto"/>
              <w:sz w:val="24"/>
              <w:highlight w:val="none"/>
            </w:rPr>
            <m:t>=0.8</m:t>
          </m:r>
          <m:f>
            <m:fPr>
              <m:ctrlPr>
                <w:rPr>
                  <w:rFonts w:ascii="Cambria Math" w:hAnsi="Cambria Math" w:eastAsia="仿宋" w:cs="仿宋"/>
                  <w:i/>
                  <w:color w:val="auto"/>
                  <w:sz w:val="24"/>
                  <w:highlight w:val="none"/>
                </w:rPr>
              </m:ctrlPr>
            </m:fPr>
            <m:num>
              <m:nary>
                <m:naryPr>
                  <m:chr m:val="∑"/>
                  <m:subHide m:val="1"/>
                  <m:supHide m:val="1"/>
                  <m:ctrlPr>
                    <w:rPr>
                      <w:rFonts w:ascii="Cambria Math" w:hAnsi="Cambria Math" w:eastAsia="仿宋" w:cs="仿宋"/>
                      <w:i/>
                      <w:color w:val="auto"/>
                      <w:sz w:val="24"/>
                      <w:highlight w:val="none"/>
                    </w:rPr>
                  </m:ctrlPr>
                </m:naryPr>
                <m:sub>
                  <m:ctrlPr>
                    <w:rPr>
                      <w:rFonts w:ascii="Cambria Math" w:hAnsi="Cambria Math" w:eastAsia="仿宋" w:cs="仿宋"/>
                      <w:i/>
                      <w:color w:val="auto"/>
                      <w:sz w:val="24"/>
                      <w:highlight w:val="none"/>
                    </w:rPr>
                  </m:ctrlPr>
                </m:sub>
                <m:sup>
                  <m:ctrlPr>
                    <w:rPr>
                      <w:rFonts w:ascii="Cambria Math" w:hAnsi="Cambria Math" w:eastAsia="仿宋" w:cs="仿宋"/>
                      <w:i/>
                      <w:color w:val="auto"/>
                      <w:sz w:val="24"/>
                      <w:highlight w:val="none"/>
                    </w:rPr>
                  </m:ctrlPr>
                </m:sup>
                <m:e>
                  <m:sSub>
                    <m:sSubPr>
                      <m:ctrlPr>
                        <w:rPr>
                          <w:rFonts w:ascii="Cambria Math" w:hAnsi="Cambria Math" w:eastAsia="仿宋" w:cs="仿宋"/>
                          <w:i/>
                          <w:color w:val="auto"/>
                          <w:sz w:val="24"/>
                          <w:highlight w:val="none"/>
                        </w:rPr>
                      </m:ctrlPr>
                    </m:sSubPr>
                    <m:e>
                      <m:r>
                        <m:rPr/>
                        <w:rPr>
                          <w:rFonts w:ascii="Cambria Math" w:hAnsi="Cambria Math" w:eastAsia="仿宋" w:cs="仿宋"/>
                          <w:color w:val="auto"/>
                          <w:sz w:val="24"/>
                          <w:highlight w:val="none"/>
                        </w:rPr>
                        <m:t>S</m:t>
                      </m:r>
                      <m:ctrlPr>
                        <w:rPr>
                          <w:rFonts w:ascii="Cambria Math" w:hAnsi="Cambria Math" w:eastAsia="仿宋" w:cs="仿宋"/>
                          <w:i/>
                          <w:color w:val="auto"/>
                          <w:sz w:val="24"/>
                          <w:highlight w:val="none"/>
                        </w:rPr>
                      </m:ctrlPr>
                    </m:e>
                    <m:sub>
                      <m:r>
                        <m:rPr/>
                        <w:rPr>
                          <w:rFonts w:ascii="Cambria Math" w:hAnsi="Cambria Math" w:eastAsia="仿宋" w:cs="仿宋"/>
                          <w:color w:val="auto"/>
                          <w:sz w:val="24"/>
                          <w:highlight w:val="none"/>
                        </w:rPr>
                        <m:t>1</m:t>
                      </m:r>
                      <m:ctrlPr>
                        <w:rPr>
                          <w:rFonts w:ascii="Cambria Math" w:hAnsi="Cambria Math" w:eastAsia="仿宋" w:cs="仿宋"/>
                          <w:i/>
                          <w:color w:val="auto"/>
                          <w:sz w:val="24"/>
                          <w:highlight w:val="none"/>
                        </w:rPr>
                      </m:ctrlPr>
                    </m:sub>
                  </m:sSub>
                  <m:sSub>
                    <m:sSubPr>
                      <m:ctrlPr>
                        <w:rPr>
                          <w:rFonts w:ascii="Cambria Math" w:hAnsi="Cambria Math" w:eastAsia="仿宋" w:cs="仿宋"/>
                          <w:i/>
                          <w:color w:val="auto"/>
                          <w:sz w:val="24"/>
                          <w:highlight w:val="none"/>
                        </w:rPr>
                      </m:ctrlPr>
                    </m:sSubPr>
                    <m:e>
                      <m:r>
                        <m:rPr/>
                        <w:rPr>
                          <w:rFonts w:ascii="Cambria Math" w:hAnsi="Cambria Math" w:eastAsia="仿宋" w:cs="仿宋"/>
                          <w:color w:val="auto"/>
                          <w:sz w:val="24"/>
                          <w:highlight w:val="none"/>
                        </w:rPr>
                        <m:t>N</m:t>
                      </m:r>
                      <m:ctrlPr>
                        <w:rPr>
                          <w:rFonts w:ascii="Cambria Math" w:hAnsi="Cambria Math" w:eastAsia="仿宋" w:cs="仿宋"/>
                          <w:i/>
                          <w:color w:val="auto"/>
                          <w:sz w:val="24"/>
                          <w:highlight w:val="none"/>
                        </w:rPr>
                      </m:ctrlPr>
                    </m:e>
                    <m:sub>
                      <m:r>
                        <m:rPr/>
                        <w:rPr>
                          <w:rFonts w:ascii="Cambria Math" w:hAnsi="Cambria Math" w:eastAsia="仿宋" w:cs="仿宋"/>
                          <w:color w:val="auto"/>
                          <w:sz w:val="24"/>
                          <w:highlight w:val="none"/>
                        </w:rPr>
                        <m:t>1</m:t>
                      </m:r>
                      <m:ctrlPr>
                        <w:rPr>
                          <w:rFonts w:ascii="Cambria Math" w:hAnsi="Cambria Math" w:eastAsia="仿宋" w:cs="仿宋"/>
                          <w:i/>
                          <w:color w:val="auto"/>
                          <w:sz w:val="24"/>
                          <w:highlight w:val="none"/>
                        </w:rPr>
                      </m:ctrlPr>
                    </m:sub>
                  </m:sSub>
                  <m:ctrlPr>
                    <w:rPr>
                      <w:rFonts w:ascii="Cambria Math" w:hAnsi="Cambria Math" w:eastAsia="仿宋" w:cs="仿宋"/>
                      <w:i/>
                      <w:color w:val="auto"/>
                      <w:sz w:val="24"/>
                      <w:highlight w:val="none"/>
                    </w:rPr>
                  </m:ctrlPr>
                </m:e>
              </m:nary>
              <m:ctrlPr>
                <w:rPr>
                  <w:rFonts w:ascii="Cambria Math" w:hAnsi="Cambria Math" w:eastAsia="仿宋" w:cs="仿宋"/>
                  <w:i/>
                  <w:color w:val="auto"/>
                  <w:sz w:val="24"/>
                  <w:highlight w:val="none"/>
                </w:rPr>
              </m:ctrlPr>
            </m:num>
            <m:den>
              <m:nary>
                <m:naryPr>
                  <m:chr m:val="∑"/>
                  <m:subHide m:val="1"/>
                  <m:supHide m:val="1"/>
                  <m:ctrlPr>
                    <w:rPr>
                      <w:rFonts w:ascii="Cambria Math" w:hAnsi="Cambria Math" w:eastAsia="仿宋" w:cs="仿宋"/>
                      <w:i/>
                      <w:color w:val="auto"/>
                      <w:sz w:val="24"/>
                      <w:highlight w:val="none"/>
                    </w:rPr>
                  </m:ctrlPr>
                </m:naryPr>
                <m:sub>
                  <m:ctrlPr>
                    <w:rPr>
                      <w:rFonts w:ascii="Cambria Math" w:hAnsi="Cambria Math" w:eastAsia="仿宋" w:cs="仿宋"/>
                      <w:i/>
                      <w:color w:val="auto"/>
                      <w:sz w:val="24"/>
                      <w:highlight w:val="none"/>
                    </w:rPr>
                  </m:ctrlPr>
                </m:sub>
                <m:sup>
                  <m:ctrlPr>
                    <w:rPr>
                      <w:rFonts w:ascii="Cambria Math" w:hAnsi="Cambria Math" w:eastAsia="仿宋" w:cs="仿宋"/>
                      <w:i/>
                      <w:color w:val="auto"/>
                      <w:sz w:val="24"/>
                      <w:highlight w:val="none"/>
                    </w:rPr>
                  </m:ctrlPr>
                </m:sup>
                <m:e>
                  <m:sSub>
                    <m:sSubPr>
                      <m:ctrlPr>
                        <w:rPr>
                          <w:rFonts w:ascii="Cambria Math" w:hAnsi="Cambria Math" w:eastAsia="仿宋" w:cs="仿宋"/>
                          <w:i/>
                          <w:color w:val="auto"/>
                          <w:sz w:val="24"/>
                          <w:highlight w:val="none"/>
                        </w:rPr>
                      </m:ctrlPr>
                    </m:sSubPr>
                    <m:e>
                      <m:r>
                        <m:rPr/>
                        <w:rPr>
                          <w:rFonts w:ascii="Cambria Math" w:hAnsi="Cambria Math" w:eastAsia="仿宋" w:cs="仿宋"/>
                          <w:color w:val="auto"/>
                          <w:sz w:val="24"/>
                          <w:highlight w:val="none"/>
                        </w:rPr>
                        <m:t>N</m:t>
                      </m:r>
                      <m:ctrlPr>
                        <w:rPr>
                          <w:rFonts w:ascii="Cambria Math" w:hAnsi="Cambria Math" w:eastAsia="仿宋" w:cs="仿宋"/>
                          <w:i/>
                          <w:color w:val="auto"/>
                          <w:sz w:val="24"/>
                          <w:highlight w:val="none"/>
                        </w:rPr>
                      </m:ctrlPr>
                    </m:e>
                    <m:sub>
                      <m:r>
                        <m:rPr/>
                        <w:rPr>
                          <w:rFonts w:ascii="Cambria Math" w:hAnsi="Cambria Math" w:eastAsia="仿宋" w:cs="仿宋"/>
                          <w:color w:val="auto"/>
                          <w:sz w:val="24"/>
                          <w:highlight w:val="none"/>
                        </w:rPr>
                        <m:t>1</m:t>
                      </m:r>
                      <m:ctrlPr>
                        <w:rPr>
                          <w:rFonts w:ascii="Cambria Math" w:hAnsi="Cambria Math" w:eastAsia="仿宋" w:cs="仿宋"/>
                          <w:i/>
                          <w:color w:val="auto"/>
                          <w:sz w:val="24"/>
                          <w:highlight w:val="none"/>
                        </w:rPr>
                      </m:ctrlPr>
                    </m:sub>
                  </m:sSub>
                  <m:ctrlPr>
                    <w:rPr>
                      <w:rFonts w:ascii="Cambria Math" w:hAnsi="Cambria Math" w:eastAsia="仿宋" w:cs="仿宋"/>
                      <w:i/>
                      <w:color w:val="auto"/>
                      <w:sz w:val="24"/>
                      <w:highlight w:val="none"/>
                    </w:rPr>
                  </m:ctrlPr>
                </m:e>
              </m:nary>
              <m:ctrlPr>
                <w:rPr>
                  <w:rFonts w:ascii="Cambria Math" w:hAnsi="Cambria Math" w:eastAsia="仿宋" w:cs="仿宋"/>
                  <w:i/>
                  <w:color w:val="auto"/>
                  <w:sz w:val="24"/>
                  <w:highlight w:val="none"/>
                </w:rPr>
              </m:ctrlPr>
            </m:den>
          </m:f>
          <m:r>
            <m:rPr/>
            <w:rPr>
              <w:rFonts w:ascii="Cambria Math" w:hAnsi="Cambria Math" w:eastAsia="仿宋" w:cs="仿宋"/>
              <w:color w:val="auto"/>
              <w:sz w:val="24"/>
              <w:highlight w:val="none"/>
            </w:rPr>
            <m:t>+0.2</m:t>
          </m:r>
          <m:f>
            <m:fPr>
              <m:ctrlPr>
                <w:rPr>
                  <w:rFonts w:ascii="Cambria Math" w:hAnsi="Cambria Math" w:eastAsia="仿宋" w:cs="仿宋"/>
                  <w:i/>
                  <w:color w:val="auto"/>
                  <w:sz w:val="24"/>
                  <w:highlight w:val="none"/>
                </w:rPr>
              </m:ctrlPr>
            </m:fPr>
            <m:num>
              <m:nary>
                <m:naryPr>
                  <m:chr m:val="∑"/>
                  <m:subHide m:val="1"/>
                  <m:supHide m:val="1"/>
                  <m:ctrlPr>
                    <w:rPr>
                      <w:rFonts w:ascii="Cambria Math" w:hAnsi="Cambria Math" w:eastAsia="仿宋" w:cs="仿宋"/>
                      <w:i/>
                      <w:color w:val="auto"/>
                      <w:sz w:val="24"/>
                      <w:highlight w:val="none"/>
                    </w:rPr>
                  </m:ctrlPr>
                </m:naryPr>
                <m:sub>
                  <m:ctrlPr>
                    <w:rPr>
                      <w:rFonts w:ascii="Cambria Math" w:hAnsi="Cambria Math" w:eastAsia="仿宋" w:cs="仿宋"/>
                      <w:i/>
                      <w:color w:val="auto"/>
                      <w:sz w:val="24"/>
                      <w:highlight w:val="none"/>
                    </w:rPr>
                  </m:ctrlPr>
                </m:sub>
                <m:sup>
                  <m:ctrlPr>
                    <w:rPr>
                      <w:rFonts w:ascii="Cambria Math" w:hAnsi="Cambria Math" w:eastAsia="仿宋" w:cs="仿宋"/>
                      <w:i/>
                      <w:color w:val="auto"/>
                      <w:sz w:val="24"/>
                      <w:highlight w:val="none"/>
                    </w:rPr>
                  </m:ctrlPr>
                </m:sup>
                <m:e>
                  <m:sSub>
                    <m:sSubPr>
                      <m:ctrlPr>
                        <w:rPr>
                          <w:rFonts w:ascii="Cambria Math" w:hAnsi="Cambria Math" w:eastAsia="仿宋" w:cs="仿宋"/>
                          <w:i/>
                          <w:color w:val="auto"/>
                          <w:sz w:val="24"/>
                          <w:highlight w:val="none"/>
                        </w:rPr>
                      </m:ctrlPr>
                    </m:sSubPr>
                    <m:e>
                      <m:r>
                        <m:rPr/>
                        <w:rPr>
                          <w:rFonts w:ascii="Cambria Math" w:hAnsi="Cambria Math" w:eastAsia="仿宋" w:cs="仿宋"/>
                          <w:color w:val="auto"/>
                          <w:sz w:val="24"/>
                          <w:highlight w:val="none"/>
                        </w:rPr>
                        <m:t>S</m:t>
                      </m:r>
                      <m:ctrlPr>
                        <w:rPr>
                          <w:rFonts w:ascii="Cambria Math" w:hAnsi="Cambria Math" w:eastAsia="仿宋" w:cs="仿宋"/>
                          <w:i/>
                          <w:color w:val="auto"/>
                          <w:sz w:val="24"/>
                          <w:highlight w:val="none"/>
                        </w:rPr>
                      </m:ctrlPr>
                    </m:e>
                    <m:sub>
                      <m:r>
                        <m:rPr/>
                        <w:rPr>
                          <w:rFonts w:ascii="Cambria Math" w:hAnsi="Cambria Math" w:eastAsia="仿宋" w:cs="仿宋"/>
                          <w:color w:val="auto"/>
                          <w:sz w:val="24"/>
                          <w:highlight w:val="none"/>
                        </w:rPr>
                        <m:t>2</m:t>
                      </m:r>
                      <m:ctrlPr>
                        <w:rPr>
                          <w:rFonts w:ascii="Cambria Math" w:hAnsi="Cambria Math" w:eastAsia="仿宋" w:cs="仿宋"/>
                          <w:i/>
                          <w:color w:val="auto"/>
                          <w:sz w:val="24"/>
                          <w:highlight w:val="none"/>
                        </w:rPr>
                      </m:ctrlPr>
                    </m:sub>
                  </m:sSub>
                  <m:sSub>
                    <m:sSubPr>
                      <m:ctrlPr>
                        <w:rPr>
                          <w:rFonts w:ascii="Cambria Math" w:hAnsi="Cambria Math" w:eastAsia="仿宋" w:cs="仿宋"/>
                          <w:i/>
                          <w:color w:val="auto"/>
                          <w:sz w:val="24"/>
                          <w:highlight w:val="none"/>
                        </w:rPr>
                      </m:ctrlPr>
                    </m:sSubPr>
                    <m:e>
                      <m:r>
                        <m:rPr/>
                        <w:rPr>
                          <w:rFonts w:ascii="Cambria Math" w:hAnsi="Cambria Math" w:eastAsia="仿宋" w:cs="仿宋"/>
                          <w:color w:val="auto"/>
                          <w:sz w:val="24"/>
                          <w:highlight w:val="none"/>
                        </w:rPr>
                        <m:t>N</m:t>
                      </m:r>
                      <m:ctrlPr>
                        <w:rPr>
                          <w:rFonts w:ascii="Cambria Math" w:hAnsi="Cambria Math" w:eastAsia="仿宋" w:cs="仿宋"/>
                          <w:i/>
                          <w:color w:val="auto"/>
                          <w:sz w:val="24"/>
                          <w:highlight w:val="none"/>
                        </w:rPr>
                      </m:ctrlPr>
                    </m:e>
                    <m:sub>
                      <m:r>
                        <m:rPr/>
                        <w:rPr>
                          <w:rFonts w:ascii="Cambria Math" w:hAnsi="Cambria Math" w:eastAsia="仿宋" w:cs="仿宋"/>
                          <w:color w:val="auto"/>
                          <w:sz w:val="24"/>
                          <w:highlight w:val="none"/>
                        </w:rPr>
                        <m:t>2</m:t>
                      </m:r>
                      <m:ctrlPr>
                        <w:rPr>
                          <w:rFonts w:ascii="Cambria Math" w:hAnsi="Cambria Math" w:eastAsia="仿宋" w:cs="仿宋"/>
                          <w:i/>
                          <w:color w:val="auto"/>
                          <w:sz w:val="24"/>
                          <w:highlight w:val="none"/>
                        </w:rPr>
                      </m:ctrlPr>
                    </m:sub>
                  </m:sSub>
                  <m:ctrlPr>
                    <w:rPr>
                      <w:rFonts w:ascii="Cambria Math" w:hAnsi="Cambria Math" w:eastAsia="仿宋" w:cs="仿宋"/>
                      <w:i/>
                      <w:color w:val="auto"/>
                      <w:sz w:val="24"/>
                      <w:highlight w:val="none"/>
                    </w:rPr>
                  </m:ctrlPr>
                </m:e>
              </m:nary>
              <m:ctrlPr>
                <w:rPr>
                  <w:rFonts w:ascii="Cambria Math" w:hAnsi="Cambria Math" w:eastAsia="仿宋" w:cs="仿宋"/>
                  <w:i/>
                  <w:color w:val="auto"/>
                  <w:sz w:val="24"/>
                  <w:highlight w:val="none"/>
                </w:rPr>
              </m:ctrlPr>
            </m:num>
            <m:den>
              <m:nary>
                <m:naryPr>
                  <m:chr m:val="∑"/>
                  <m:subHide m:val="1"/>
                  <m:supHide m:val="1"/>
                  <m:ctrlPr>
                    <w:rPr>
                      <w:rFonts w:ascii="Cambria Math" w:hAnsi="Cambria Math" w:eastAsia="仿宋" w:cs="仿宋"/>
                      <w:i/>
                      <w:color w:val="auto"/>
                      <w:sz w:val="24"/>
                      <w:highlight w:val="none"/>
                    </w:rPr>
                  </m:ctrlPr>
                </m:naryPr>
                <m:sub>
                  <m:ctrlPr>
                    <w:rPr>
                      <w:rFonts w:ascii="Cambria Math" w:hAnsi="Cambria Math" w:eastAsia="仿宋" w:cs="仿宋"/>
                      <w:i/>
                      <w:color w:val="auto"/>
                      <w:sz w:val="24"/>
                      <w:highlight w:val="none"/>
                    </w:rPr>
                  </m:ctrlPr>
                </m:sub>
                <m:sup>
                  <m:ctrlPr>
                    <w:rPr>
                      <w:rFonts w:ascii="Cambria Math" w:hAnsi="Cambria Math" w:eastAsia="仿宋" w:cs="仿宋"/>
                      <w:i/>
                      <w:color w:val="auto"/>
                      <w:sz w:val="24"/>
                      <w:highlight w:val="none"/>
                    </w:rPr>
                  </m:ctrlPr>
                </m:sup>
                <m:e>
                  <m:sSub>
                    <m:sSubPr>
                      <m:ctrlPr>
                        <w:rPr>
                          <w:rFonts w:ascii="Cambria Math" w:hAnsi="Cambria Math" w:eastAsia="仿宋" w:cs="仿宋"/>
                          <w:i/>
                          <w:color w:val="auto"/>
                          <w:sz w:val="24"/>
                          <w:highlight w:val="none"/>
                        </w:rPr>
                      </m:ctrlPr>
                    </m:sSubPr>
                    <m:e>
                      <m:r>
                        <m:rPr/>
                        <w:rPr>
                          <w:rFonts w:ascii="Cambria Math" w:hAnsi="Cambria Math" w:eastAsia="仿宋" w:cs="仿宋"/>
                          <w:color w:val="auto"/>
                          <w:sz w:val="24"/>
                          <w:highlight w:val="none"/>
                        </w:rPr>
                        <m:t>N</m:t>
                      </m:r>
                      <m:ctrlPr>
                        <w:rPr>
                          <w:rFonts w:ascii="Cambria Math" w:hAnsi="Cambria Math" w:eastAsia="仿宋" w:cs="仿宋"/>
                          <w:i/>
                          <w:color w:val="auto"/>
                          <w:sz w:val="24"/>
                          <w:highlight w:val="none"/>
                        </w:rPr>
                      </m:ctrlPr>
                    </m:e>
                    <m:sub>
                      <m:r>
                        <m:rPr/>
                        <w:rPr>
                          <w:rFonts w:ascii="Cambria Math" w:hAnsi="Cambria Math" w:eastAsia="仿宋" w:cs="仿宋"/>
                          <w:color w:val="auto"/>
                          <w:sz w:val="24"/>
                          <w:highlight w:val="none"/>
                        </w:rPr>
                        <m:t>2</m:t>
                      </m:r>
                      <m:ctrlPr>
                        <w:rPr>
                          <w:rFonts w:ascii="Cambria Math" w:hAnsi="Cambria Math" w:eastAsia="仿宋" w:cs="仿宋"/>
                          <w:i/>
                          <w:color w:val="auto"/>
                          <w:sz w:val="24"/>
                          <w:highlight w:val="none"/>
                        </w:rPr>
                      </m:ctrlPr>
                    </m:sub>
                  </m:sSub>
                  <m:ctrlPr>
                    <w:rPr>
                      <w:rFonts w:ascii="Cambria Math" w:hAnsi="Cambria Math" w:eastAsia="仿宋" w:cs="仿宋"/>
                      <w:i/>
                      <w:color w:val="auto"/>
                      <w:sz w:val="24"/>
                      <w:highlight w:val="none"/>
                    </w:rPr>
                  </m:ctrlPr>
                </m:e>
              </m:nary>
              <m:ctrlPr>
                <w:rPr>
                  <w:rFonts w:ascii="Cambria Math" w:hAnsi="Cambria Math" w:eastAsia="仿宋" w:cs="仿宋"/>
                  <w:i/>
                  <w:color w:val="auto"/>
                  <w:sz w:val="24"/>
                  <w:highlight w:val="none"/>
                </w:rPr>
              </m:ctrlPr>
            </m:den>
          </m:f>
        </m:oMath>
      </m:oMathPara>
    </w:p>
    <w:p w14:paraId="412EA978">
      <w:pPr>
        <w:spacing w:line="560" w:lineRule="exact"/>
        <w:ind w:firstLine="640" w:firstLineChars="200"/>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rPr>
        <w:t>其中，</w:t>
      </w:r>
      <w:r>
        <w:rPr>
          <w:rFonts w:hint="eastAsia" w:ascii="仿宋_GB2312" w:hAnsi="仿宋" w:cs="仿宋"/>
          <w:color w:val="auto"/>
          <w:sz w:val="32"/>
          <w:szCs w:val="32"/>
          <w:highlight w:val="none"/>
          <w:lang w:val="en-US" w:eastAsia="zh-CN"/>
        </w:rPr>
        <w:t>B1</w:t>
      </w:r>
      <w:r>
        <w:rPr>
          <w:rFonts w:hint="eastAsia" w:ascii="仿宋_GB2312" w:hAnsi="仿宋" w:eastAsia="仿宋_GB2312" w:cs="仿宋"/>
          <w:color w:val="auto"/>
          <w:sz w:val="32"/>
          <w:szCs w:val="32"/>
          <w:highlight w:val="none"/>
        </w:rPr>
        <w:t>为课程综合成绩，S1为学位课（含必修课）成绩，N1为对应的课程学分，S2为非学位课成绩，N2为对应的课程学分。成绩按百分制计算。</w:t>
      </w:r>
      <w:r>
        <w:rPr>
          <w:rFonts w:hint="eastAsia" w:ascii="仿宋_GB2312" w:hAnsi="仿宋" w:cs="仿宋"/>
          <w:color w:val="auto"/>
          <w:sz w:val="32"/>
          <w:szCs w:val="32"/>
          <w:highlight w:val="none"/>
          <w:lang w:val="en-US" w:eastAsia="zh-CN"/>
        </w:rPr>
        <w:t>(若课程全为学位课必修课或者全为非学位课，则不用乘以0.8和0.2的比例)</w:t>
      </w:r>
    </w:p>
    <w:p w14:paraId="2730AC0D">
      <w:pPr>
        <w:spacing w:line="560" w:lineRule="exact"/>
        <w:ind w:firstLine="640" w:firstLineChars="200"/>
        <w:rPr>
          <w:rFonts w:ascii="仿宋_GB2312" w:hAnsi="仿宋" w:eastAsia="仿宋_GB2312" w:cs="仿宋"/>
          <w:color w:val="auto"/>
          <w:sz w:val="32"/>
          <w:szCs w:val="32"/>
          <w:highlight w:val="none"/>
        </w:rPr>
      </w:pPr>
      <w:r>
        <w:rPr>
          <w:rFonts w:ascii="仿宋_GB2312" w:hAnsi="仿宋" w:eastAsia="仿宋_GB2312" w:cs="仿宋"/>
          <w:color w:val="auto"/>
          <w:sz w:val="32"/>
          <w:szCs w:val="32"/>
          <w:highlight w:val="none"/>
        </w:rPr>
        <w:t>注：学习成绩以学生从研究生信息管理系统中打印出来，且经过相关老师审核及盖章的纸质版为准；在规定时间内应修而未修的课程，以零分参与计算。</w:t>
      </w:r>
    </w:p>
    <w:p w14:paraId="3DBA7CA6">
      <w:pPr>
        <w:spacing w:line="560" w:lineRule="exact"/>
        <w:ind w:firstLine="640" w:firstLineChars="200"/>
        <w:rPr>
          <w:rFonts w:ascii="仿宋_GB2312" w:hAnsi="仿宋" w:eastAsia="仿宋_GB2312" w:cs="仿宋"/>
          <w:color w:val="auto"/>
          <w:sz w:val="32"/>
          <w:szCs w:val="32"/>
          <w:highlight w:val="none"/>
        </w:rPr>
      </w:pPr>
      <w:r>
        <w:rPr>
          <w:rFonts w:ascii="仿宋_GB2312" w:hAnsi="仿宋" w:eastAsia="仿宋_GB2312" w:cs="仿宋"/>
          <w:color w:val="auto"/>
          <w:sz w:val="32"/>
          <w:szCs w:val="32"/>
          <w:highlight w:val="none"/>
        </w:rPr>
        <w:t>任课教师应在每年度评定奖学金前将该门课程考试或考核分数给出。由于学生原因评定前教师仍未给出课程分数者，该门课程一律以不及格计，按前述参评条件，取消其参评资格。</w:t>
      </w:r>
    </w:p>
    <w:p w14:paraId="1891BF64">
      <w:pPr>
        <w:spacing w:line="560" w:lineRule="exact"/>
        <w:jc w:val="center"/>
        <w:rPr>
          <w:rFonts w:ascii="黑体" w:hAnsi="黑体" w:eastAsia="黑体" w:cs="仿宋"/>
          <w:b/>
          <w:bCs/>
          <w:color w:val="auto"/>
          <w:sz w:val="32"/>
          <w:szCs w:val="32"/>
          <w:highlight w:val="none"/>
        </w:rPr>
      </w:pPr>
      <w:r>
        <w:rPr>
          <w:rFonts w:hint="eastAsia" w:ascii="黑体" w:hAnsi="黑体" w:eastAsia="黑体" w:cs="仿宋"/>
          <w:b/>
          <w:bCs/>
          <w:color w:val="auto"/>
          <w:sz w:val="32"/>
          <w:szCs w:val="32"/>
          <w:highlight w:val="none"/>
        </w:rPr>
        <w:t>第</w:t>
      </w:r>
      <w:r>
        <w:rPr>
          <w:rFonts w:hint="eastAsia" w:ascii="黑体" w:hAnsi="黑体" w:eastAsia="黑体" w:cs="仿宋"/>
          <w:b/>
          <w:bCs/>
          <w:color w:val="auto"/>
          <w:sz w:val="32"/>
          <w:szCs w:val="32"/>
          <w:highlight w:val="none"/>
          <w:lang w:val="en-US" w:eastAsia="zh-CN"/>
        </w:rPr>
        <w:t>八</w:t>
      </w:r>
      <w:r>
        <w:rPr>
          <w:rFonts w:hint="eastAsia" w:ascii="黑体" w:hAnsi="黑体" w:eastAsia="黑体" w:cs="仿宋"/>
          <w:b/>
          <w:bCs/>
          <w:color w:val="auto"/>
          <w:sz w:val="32"/>
          <w:szCs w:val="32"/>
          <w:highlight w:val="none"/>
        </w:rPr>
        <w:t xml:space="preserve">章 </w:t>
      </w:r>
      <w:r>
        <w:rPr>
          <w:rFonts w:hint="eastAsia" w:ascii="黑体" w:hAnsi="黑体" w:eastAsia="黑体" w:cs="仿宋"/>
          <w:b/>
          <w:bCs/>
          <w:color w:val="auto"/>
          <w:sz w:val="32"/>
          <w:szCs w:val="32"/>
          <w:highlight w:val="none"/>
          <w:lang w:val="en-US" w:eastAsia="zh-CN"/>
        </w:rPr>
        <w:t>体</w:t>
      </w:r>
      <w:r>
        <w:rPr>
          <w:rFonts w:hint="eastAsia" w:ascii="黑体" w:hAnsi="黑体" w:eastAsia="黑体" w:cs="仿宋"/>
          <w:b/>
          <w:bCs/>
          <w:color w:val="auto"/>
          <w:sz w:val="32"/>
          <w:szCs w:val="32"/>
          <w:highlight w:val="none"/>
        </w:rPr>
        <w:t>育测评分数</w:t>
      </w:r>
    </w:p>
    <w:p w14:paraId="1E54E756">
      <w:pPr>
        <w:numPr>
          <w:ilvl w:val="0"/>
          <w:numId w:val="0"/>
        </w:numPr>
        <w:spacing w:line="560" w:lineRule="exact"/>
        <w:ind w:firstLine="640" w:firstLineChars="200"/>
        <w:rPr>
          <w:rFonts w:hint="default" w:ascii="仿宋_GB2312" w:hAnsi="仿宋" w:eastAsia="仿宋_GB2312" w:cs="仿宋"/>
          <w:color w:val="auto"/>
          <w:sz w:val="32"/>
          <w:szCs w:val="32"/>
          <w:highlight w:val="none"/>
          <w:lang w:val="en-US" w:eastAsia="zh-CN"/>
        </w:rPr>
      </w:pPr>
      <w:r>
        <w:rPr>
          <w:rFonts w:hint="eastAsia" w:ascii="仿宋_GB2312" w:hAnsi="仿宋" w:cs="仿宋"/>
          <w:color w:val="auto"/>
          <w:sz w:val="32"/>
          <w:szCs w:val="32"/>
          <w:highlight w:val="none"/>
          <w:lang w:val="en-US" w:eastAsia="zh-CN"/>
        </w:rPr>
        <w:t xml:space="preserve">第二十五条 </w:t>
      </w:r>
      <w:r>
        <w:rPr>
          <w:rFonts w:hint="default" w:ascii="仿宋_GB2312" w:hAnsi="仿宋" w:cs="仿宋"/>
          <w:color w:val="auto"/>
          <w:sz w:val="32"/>
          <w:szCs w:val="32"/>
          <w:highlight w:val="none"/>
          <w:lang w:val="en-US" w:eastAsia="zh-CN"/>
        </w:rPr>
        <w:t>体育评价主要包括参加各类体育比赛获奖的情况；获得国家级运动员、裁判员称号的情况；组建或参加体育社团、俱乐部的情况；积极参加各类体育活动和锻炼等情况。</w:t>
      </w:r>
      <w:r>
        <w:rPr>
          <w:rFonts w:hint="eastAsia" w:ascii="仿宋_GB2312" w:hAnsi="仿宋" w:eastAsia="仿宋_GB2312" w:cs="仿宋"/>
          <w:color w:val="auto"/>
          <w:sz w:val="32"/>
          <w:szCs w:val="32"/>
          <w:highlight w:val="none"/>
        </w:rPr>
        <w:t>体育</w:t>
      </w:r>
      <w:r>
        <w:rPr>
          <w:rFonts w:hint="eastAsia" w:ascii="仿宋_GB2312" w:hAnsi="仿宋" w:cs="仿宋"/>
          <w:color w:val="auto"/>
          <w:sz w:val="32"/>
          <w:szCs w:val="32"/>
          <w:highlight w:val="none"/>
          <w:lang w:val="en-US" w:eastAsia="zh-CN"/>
        </w:rPr>
        <w:t>评价</w:t>
      </w:r>
      <w:r>
        <w:rPr>
          <w:rFonts w:hint="eastAsia" w:ascii="仿宋_GB2312" w:hAnsi="仿宋" w:eastAsia="仿宋_GB2312" w:cs="仿宋"/>
          <w:color w:val="auto"/>
          <w:sz w:val="32"/>
          <w:szCs w:val="32"/>
          <w:highlight w:val="none"/>
        </w:rPr>
        <w:t>满分为100分，基础分70分</w:t>
      </w:r>
      <w:r>
        <w:rPr>
          <w:rFonts w:hint="eastAsia" w:ascii="仿宋_GB2312" w:hAnsi="仿宋" w:cs="仿宋"/>
          <w:color w:val="auto"/>
          <w:sz w:val="32"/>
          <w:szCs w:val="32"/>
          <w:highlight w:val="none"/>
          <w:lang w:eastAsia="zh-CN"/>
        </w:rPr>
        <w:t>，</w:t>
      </w:r>
      <w:r>
        <w:rPr>
          <w:rFonts w:hint="eastAsia" w:ascii="仿宋_GB2312" w:hAnsi="仿宋" w:cs="仿宋"/>
          <w:color w:val="auto"/>
          <w:sz w:val="32"/>
          <w:szCs w:val="32"/>
          <w:highlight w:val="none"/>
          <w:lang w:val="en-US" w:eastAsia="zh-CN"/>
        </w:rPr>
        <w:t>超过100则不再累计加分。</w:t>
      </w:r>
    </w:p>
    <w:p w14:paraId="632C6B0D">
      <w:pPr>
        <w:numPr>
          <w:ilvl w:val="0"/>
          <w:numId w:val="0"/>
        </w:numPr>
        <w:spacing w:line="560" w:lineRule="exact"/>
        <w:rPr>
          <w:rFonts w:hint="eastAsia" w:ascii="仿宋_GB2312" w:hAnsi="仿宋" w:cs="仿宋"/>
          <w:color w:val="auto"/>
          <w:sz w:val="32"/>
          <w:szCs w:val="32"/>
          <w:highlight w:val="none"/>
          <w:lang w:val="en-US" w:eastAsia="zh-CN"/>
        </w:rPr>
      </w:pPr>
      <w:r>
        <w:rPr>
          <w:rFonts w:hint="eastAsia" w:ascii="仿宋_GB2312" w:hAnsi="仿宋" w:cs="仿宋"/>
          <w:color w:val="auto"/>
          <w:sz w:val="32"/>
          <w:szCs w:val="32"/>
          <w:highlight w:val="none"/>
          <w:lang w:val="en-US" w:eastAsia="zh-CN"/>
        </w:rPr>
        <w:t>C体育分=70+C1体育竞赛+C2组建或参加社团、俱乐部+C3参加体育活动</w:t>
      </w:r>
    </w:p>
    <w:p w14:paraId="7B0E7B90">
      <w:pPr>
        <w:spacing w:line="560" w:lineRule="exact"/>
        <w:jc w:val="center"/>
        <w:rPr>
          <w:rFonts w:ascii="黑体" w:hAnsi="黑体" w:eastAsia="黑体" w:cs="仿宋"/>
          <w:b/>
          <w:bCs/>
          <w:color w:val="auto"/>
          <w:sz w:val="32"/>
          <w:szCs w:val="32"/>
          <w:highlight w:val="none"/>
        </w:rPr>
      </w:pPr>
      <w:r>
        <w:rPr>
          <w:rFonts w:hint="eastAsia" w:ascii="黑体" w:hAnsi="黑体" w:eastAsia="黑体" w:cs="仿宋"/>
          <w:b/>
          <w:bCs/>
          <w:color w:val="auto"/>
          <w:sz w:val="32"/>
          <w:szCs w:val="32"/>
          <w:highlight w:val="none"/>
        </w:rPr>
        <w:t>第</w:t>
      </w:r>
      <w:r>
        <w:rPr>
          <w:rFonts w:hint="eastAsia" w:ascii="黑体" w:hAnsi="黑体" w:eastAsia="黑体" w:cs="仿宋"/>
          <w:b/>
          <w:bCs/>
          <w:color w:val="auto"/>
          <w:sz w:val="32"/>
          <w:szCs w:val="32"/>
          <w:highlight w:val="none"/>
          <w:lang w:val="en-US" w:eastAsia="zh-CN"/>
        </w:rPr>
        <w:t>九</w:t>
      </w:r>
      <w:r>
        <w:rPr>
          <w:rFonts w:hint="eastAsia" w:ascii="黑体" w:hAnsi="黑体" w:eastAsia="黑体" w:cs="仿宋"/>
          <w:b/>
          <w:bCs/>
          <w:color w:val="auto"/>
          <w:sz w:val="32"/>
          <w:szCs w:val="32"/>
          <w:highlight w:val="none"/>
        </w:rPr>
        <w:t xml:space="preserve">章 </w:t>
      </w:r>
      <w:r>
        <w:rPr>
          <w:rFonts w:hint="eastAsia" w:ascii="黑体" w:hAnsi="黑体" w:eastAsia="黑体" w:cs="仿宋"/>
          <w:b/>
          <w:bCs/>
          <w:color w:val="auto"/>
          <w:sz w:val="32"/>
          <w:szCs w:val="32"/>
          <w:highlight w:val="none"/>
          <w:lang w:val="en-US" w:eastAsia="zh-CN"/>
        </w:rPr>
        <w:t>美</w:t>
      </w:r>
      <w:r>
        <w:rPr>
          <w:rFonts w:hint="eastAsia" w:ascii="黑体" w:hAnsi="黑体" w:eastAsia="黑体" w:cs="仿宋"/>
          <w:b/>
          <w:bCs/>
          <w:color w:val="auto"/>
          <w:sz w:val="32"/>
          <w:szCs w:val="32"/>
          <w:highlight w:val="none"/>
        </w:rPr>
        <w:t>育测评分数</w:t>
      </w:r>
    </w:p>
    <w:p w14:paraId="3FB26316">
      <w:pPr>
        <w:numPr>
          <w:ilvl w:val="0"/>
          <w:numId w:val="0"/>
        </w:numPr>
        <w:spacing w:line="560" w:lineRule="exact"/>
        <w:ind w:firstLine="640" w:firstLineChars="200"/>
        <w:rPr>
          <w:rFonts w:hint="eastAsia" w:ascii="仿宋_GB2312" w:hAnsi="仿宋" w:cs="仿宋"/>
          <w:color w:val="auto"/>
          <w:sz w:val="32"/>
          <w:szCs w:val="32"/>
          <w:highlight w:val="none"/>
          <w:lang w:val="en-US" w:eastAsia="zh-CN"/>
        </w:rPr>
      </w:pPr>
      <w:r>
        <w:rPr>
          <w:rFonts w:hint="eastAsia" w:ascii="仿宋_GB2312" w:hAnsi="仿宋" w:cs="仿宋"/>
          <w:color w:val="auto"/>
          <w:sz w:val="32"/>
          <w:szCs w:val="32"/>
          <w:highlight w:val="none"/>
          <w:lang w:val="en-US" w:eastAsia="zh-CN"/>
        </w:rPr>
        <w:t xml:space="preserve">第二十六条 </w:t>
      </w:r>
      <w:r>
        <w:rPr>
          <w:rFonts w:hint="default" w:ascii="仿宋_GB2312" w:hAnsi="仿宋" w:cs="仿宋"/>
          <w:color w:val="auto"/>
          <w:sz w:val="32"/>
          <w:szCs w:val="32"/>
          <w:highlight w:val="none"/>
          <w:lang w:val="en-US" w:eastAsia="zh-CN"/>
        </w:rPr>
        <w:t>美育评价主要包括参加各种艺术、文艺类竞赛和活动获奖的情况；组建或参加艺术类团体的情况；积极参加各类校园文化活动等情况。</w:t>
      </w:r>
      <w:r>
        <w:rPr>
          <w:rFonts w:hint="eastAsia" w:ascii="仿宋_GB2312" w:hAnsi="仿宋" w:cs="仿宋"/>
          <w:color w:val="auto"/>
          <w:sz w:val="32"/>
          <w:szCs w:val="32"/>
          <w:highlight w:val="none"/>
          <w:lang w:val="en-US" w:eastAsia="zh-CN"/>
        </w:rPr>
        <w:t>美</w:t>
      </w:r>
      <w:r>
        <w:rPr>
          <w:rFonts w:hint="eastAsia" w:ascii="仿宋_GB2312" w:hAnsi="仿宋" w:eastAsia="仿宋_GB2312" w:cs="仿宋"/>
          <w:color w:val="auto"/>
          <w:sz w:val="32"/>
          <w:szCs w:val="32"/>
          <w:highlight w:val="none"/>
        </w:rPr>
        <w:t>育</w:t>
      </w:r>
      <w:r>
        <w:rPr>
          <w:rFonts w:hint="eastAsia" w:ascii="仿宋_GB2312" w:hAnsi="仿宋" w:cs="仿宋"/>
          <w:color w:val="auto"/>
          <w:sz w:val="32"/>
          <w:szCs w:val="32"/>
          <w:highlight w:val="none"/>
          <w:lang w:val="en-US" w:eastAsia="zh-CN"/>
        </w:rPr>
        <w:t>评价</w:t>
      </w:r>
      <w:r>
        <w:rPr>
          <w:rFonts w:hint="eastAsia" w:ascii="仿宋_GB2312" w:hAnsi="仿宋" w:eastAsia="仿宋_GB2312" w:cs="仿宋"/>
          <w:color w:val="auto"/>
          <w:sz w:val="32"/>
          <w:szCs w:val="32"/>
          <w:highlight w:val="none"/>
        </w:rPr>
        <w:t>满分为100分，基础分70分</w:t>
      </w:r>
      <w:r>
        <w:rPr>
          <w:rFonts w:hint="eastAsia" w:ascii="仿宋_GB2312" w:hAnsi="仿宋" w:cs="仿宋"/>
          <w:color w:val="auto"/>
          <w:sz w:val="32"/>
          <w:szCs w:val="32"/>
          <w:highlight w:val="none"/>
          <w:lang w:eastAsia="zh-CN"/>
        </w:rPr>
        <w:t>，</w:t>
      </w:r>
      <w:r>
        <w:rPr>
          <w:rFonts w:hint="eastAsia" w:ascii="仿宋_GB2312" w:hAnsi="仿宋" w:cs="仿宋"/>
          <w:color w:val="auto"/>
          <w:sz w:val="32"/>
          <w:szCs w:val="32"/>
          <w:highlight w:val="none"/>
          <w:lang w:val="en-US" w:eastAsia="zh-CN"/>
        </w:rPr>
        <w:t>超过100则不再累计加分。</w:t>
      </w:r>
    </w:p>
    <w:p w14:paraId="794273F4">
      <w:pPr>
        <w:numPr>
          <w:ilvl w:val="0"/>
          <w:numId w:val="0"/>
        </w:numPr>
        <w:spacing w:line="560" w:lineRule="exact"/>
        <w:rPr>
          <w:rFonts w:hint="eastAsia" w:ascii="仿宋_GB2312" w:hAnsi="仿宋" w:cs="仿宋"/>
          <w:color w:val="auto"/>
          <w:sz w:val="32"/>
          <w:szCs w:val="32"/>
          <w:highlight w:val="none"/>
          <w:lang w:val="en-US" w:eastAsia="zh-CN"/>
        </w:rPr>
      </w:pPr>
      <w:r>
        <w:rPr>
          <w:rFonts w:hint="eastAsia" w:ascii="仿宋_GB2312" w:hAnsi="仿宋" w:cs="仿宋"/>
          <w:color w:val="auto"/>
          <w:sz w:val="32"/>
          <w:szCs w:val="32"/>
          <w:highlight w:val="none"/>
          <w:lang w:val="en-US" w:eastAsia="zh-CN"/>
        </w:rPr>
        <w:t>D美育分=70+D1文艺竞赛+D2组建或参加社团、俱乐部+D3参加文化活动</w:t>
      </w:r>
    </w:p>
    <w:p w14:paraId="5C4D3FC3">
      <w:pPr>
        <w:spacing w:line="560" w:lineRule="exact"/>
        <w:jc w:val="center"/>
        <w:rPr>
          <w:rFonts w:ascii="黑体" w:hAnsi="黑体" w:eastAsia="黑体" w:cs="仿宋"/>
          <w:b/>
          <w:bCs/>
          <w:color w:val="auto"/>
          <w:sz w:val="32"/>
          <w:szCs w:val="32"/>
          <w:highlight w:val="none"/>
        </w:rPr>
      </w:pPr>
      <w:r>
        <w:rPr>
          <w:rFonts w:hint="eastAsia" w:ascii="黑体" w:hAnsi="黑体" w:eastAsia="黑体" w:cs="仿宋"/>
          <w:b/>
          <w:bCs/>
          <w:color w:val="auto"/>
          <w:sz w:val="32"/>
          <w:szCs w:val="32"/>
          <w:highlight w:val="none"/>
        </w:rPr>
        <w:t>第</w:t>
      </w:r>
      <w:r>
        <w:rPr>
          <w:rFonts w:hint="eastAsia" w:ascii="黑体" w:hAnsi="黑体" w:eastAsia="黑体" w:cs="仿宋"/>
          <w:b/>
          <w:bCs/>
          <w:color w:val="auto"/>
          <w:sz w:val="32"/>
          <w:szCs w:val="32"/>
          <w:highlight w:val="none"/>
          <w:lang w:val="en-US" w:eastAsia="zh-CN"/>
        </w:rPr>
        <w:t>十</w:t>
      </w:r>
      <w:r>
        <w:rPr>
          <w:rFonts w:hint="eastAsia" w:ascii="黑体" w:hAnsi="黑体" w:eastAsia="黑体" w:cs="仿宋"/>
          <w:b/>
          <w:bCs/>
          <w:color w:val="auto"/>
          <w:sz w:val="32"/>
          <w:szCs w:val="32"/>
          <w:highlight w:val="none"/>
        </w:rPr>
        <w:t xml:space="preserve">章 </w:t>
      </w:r>
      <w:r>
        <w:rPr>
          <w:rFonts w:hint="eastAsia" w:ascii="黑体" w:hAnsi="黑体" w:eastAsia="黑体" w:cs="仿宋"/>
          <w:b/>
          <w:bCs/>
          <w:color w:val="auto"/>
          <w:sz w:val="32"/>
          <w:szCs w:val="32"/>
          <w:highlight w:val="none"/>
          <w:lang w:val="en-US" w:eastAsia="zh-CN"/>
        </w:rPr>
        <w:t>劳动教育</w:t>
      </w:r>
      <w:r>
        <w:rPr>
          <w:rFonts w:hint="eastAsia" w:ascii="黑体" w:hAnsi="黑体" w:eastAsia="黑体" w:cs="仿宋"/>
          <w:b/>
          <w:bCs/>
          <w:color w:val="auto"/>
          <w:sz w:val="32"/>
          <w:szCs w:val="32"/>
          <w:highlight w:val="none"/>
        </w:rPr>
        <w:t>测评分数</w:t>
      </w:r>
    </w:p>
    <w:p w14:paraId="2CAB412E">
      <w:pPr>
        <w:numPr>
          <w:ilvl w:val="0"/>
          <w:numId w:val="0"/>
        </w:numPr>
        <w:spacing w:line="560" w:lineRule="exact"/>
        <w:ind w:firstLine="640" w:firstLineChars="200"/>
        <w:rPr>
          <w:rFonts w:hint="eastAsia" w:ascii="仿宋_GB2312" w:hAnsi="仿宋" w:cs="仿宋"/>
          <w:color w:val="auto"/>
          <w:sz w:val="32"/>
          <w:szCs w:val="32"/>
          <w:highlight w:val="none"/>
          <w:lang w:val="en-US" w:eastAsia="zh-CN"/>
        </w:rPr>
      </w:pPr>
      <w:r>
        <w:rPr>
          <w:rFonts w:hint="eastAsia" w:ascii="仿宋_GB2312" w:hAnsi="仿宋" w:cs="仿宋"/>
          <w:color w:val="auto"/>
          <w:sz w:val="32"/>
          <w:szCs w:val="32"/>
          <w:highlight w:val="none"/>
          <w:lang w:val="en-US" w:eastAsia="zh-CN"/>
        </w:rPr>
        <w:t xml:space="preserve">第二十七条 </w:t>
      </w:r>
      <w:r>
        <w:rPr>
          <w:rFonts w:hint="default" w:ascii="仿宋_GB2312" w:hAnsi="仿宋" w:cs="仿宋"/>
          <w:color w:val="auto"/>
          <w:sz w:val="32"/>
          <w:szCs w:val="32"/>
          <w:highlight w:val="none"/>
          <w:lang w:val="en-US" w:eastAsia="zh-CN"/>
        </w:rPr>
        <w:t>劳动教育评价主要包括参加“博士工程师”“博士村长”等社会实践的情况；参加志愿服务的情况；参加植树等义务劳动等情况。</w:t>
      </w:r>
      <w:r>
        <w:rPr>
          <w:rFonts w:hint="eastAsia" w:ascii="仿宋_GB2312" w:hAnsi="仿宋" w:cs="仿宋"/>
          <w:color w:val="auto"/>
          <w:sz w:val="32"/>
          <w:szCs w:val="32"/>
          <w:highlight w:val="none"/>
          <w:lang w:val="en-US" w:eastAsia="zh-CN"/>
        </w:rPr>
        <w:t>美</w:t>
      </w:r>
      <w:r>
        <w:rPr>
          <w:rFonts w:hint="eastAsia" w:ascii="仿宋_GB2312" w:hAnsi="仿宋" w:eastAsia="仿宋_GB2312" w:cs="仿宋"/>
          <w:color w:val="auto"/>
          <w:sz w:val="32"/>
          <w:szCs w:val="32"/>
          <w:highlight w:val="none"/>
        </w:rPr>
        <w:t>育</w:t>
      </w:r>
      <w:r>
        <w:rPr>
          <w:rFonts w:hint="eastAsia" w:ascii="仿宋_GB2312" w:hAnsi="仿宋" w:cs="仿宋"/>
          <w:color w:val="auto"/>
          <w:sz w:val="32"/>
          <w:szCs w:val="32"/>
          <w:highlight w:val="none"/>
          <w:lang w:val="en-US" w:eastAsia="zh-CN"/>
        </w:rPr>
        <w:t>评价</w:t>
      </w:r>
      <w:r>
        <w:rPr>
          <w:rFonts w:hint="eastAsia" w:ascii="仿宋_GB2312" w:hAnsi="仿宋" w:eastAsia="仿宋_GB2312" w:cs="仿宋"/>
          <w:color w:val="auto"/>
          <w:sz w:val="32"/>
          <w:szCs w:val="32"/>
          <w:highlight w:val="none"/>
        </w:rPr>
        <w:t>满分为100分，基础分70分</w:t>
      </w:r>
      <w:r>
        <w:rPr>
          <w:rFonts w:hint="eastAsia" w:ascii="仿宋_GB2312" w:hAnsi="仿宋" w:cs="仿宋"/>
          <w:color w:val="auto"/>
          <w:sz w:val="32"/>
          <w:szCs w:val="32"/>
          <w:highlight w:val="none"/>
          <w:lang w:eastAsia="zh-CN"/>
        </w:rPr>
        <w:t>，</w:t>
      </w:r>
      <w:r>
        <w:rPr>
          <w:rFonts w:hint="eastAsia" w:ascii="仿宋_GB2312" w:hAnsi="仿宋" w:cs="仿宋"/>
          <w:color w:val="auto"/>
          <w:sz w:val="32"/>
          <w:szCs w:val="32"/>
          <w:highlight w:val="none"/>
          <w:lang w:val="en-US" w:eastAsia="zh-CN"/>
        </w:rPr>
        <w:t>超过100则不再累计加分。</w:t>
      </w:r>
    </w:p>
    <w:p w14:paraId="66AD326F">
      <w:pPr>
        <w:numPr>
          <w:ilvl w:val="0"/>
          <w:numId w:val="0"/>
        </w:numPr>
        <w:spacing w:line="560" w:lineRule="exact"/>
        <w:jc w:val="center"/>
        <w:rPr>
          <w:rFonts w:hint="eastAsia" w:ascii="仿宋_GB2312" w:hAnsi="仿宋" w:cs="仿宋"/>
          <w:color w:val="auto"/>
          <w:sz w:val="32"/>
          <w:szCs w:val="32"/>
          <w:highlight w:val="none"/>
          <w:lang w:val="en-US" w:eastAsia="zh-CN"/>
        </w:rPr>
      </w:pPr>
      <w:r>
        <w:rPr>
          <w:rFonts w:hint="eastAsia" w:ascii="仿宋_GB2312" w:hAnsi="仿宋" w:cs="仿宋"/>
          <w:color w:val="auto"/>
          <w:sz w:val="32"/>
          <w:szCs w:val="32"/>
          <w:highlight w:val="none"/>
          <w:lang w:val="en-US" w:eastAsia="zh-CN"/>
        </w:rPr>
        <w:t>E劳动教育分=70+E1志愿实践+E2劳动教育主题活动</w:t>
      </w:r>
    </w:p>
    <w:p w14:paraId="6AD57FA6">
      <w:pPr>
        <w:keepNext/>
        <w:keepLines/>
        <w:widowControl w:val="0"/>
        <w:spacing w:before="0" w:after="0" w:line="560" w:lineRule="exact"/>
        <w:jc w:val="center"/>
        <w:outlineLvl w:val="1"/>
        <w:rPr>
          <w:rFonts w:ascii="Times New Roman" w:hAnsi="Times New Roman" w:eastAsia="黑体" w:cs="Times New Roman"/>
          <w:b w:val="0"/>
          <w:bCs/>
          <w:color w:val="auto"/>
          <w:kern w:val="2"/>
          <w:sz w:val="32"/>
          <w:szCs w:val="32"/>
          <w:highlight w:val="none"/>
          <w:lang w:val="en-US" w:eastAsia="zh-CN" w:bidi="hi-IN"/>
        </w:rPr>
      </w:pPr>
      <w:r>
        <w:rPr>
          <w:rFonts w:ascii="Times New Roman" w:hAnsi="Times New Roman" w:eastAsia="黑体" w:cs="Times New Roman"/>
          <w:b w:val="0"/>
          <w:bCs/>
          <w:color w:val="auto"/>
          <w:kern w:val="2"/>
          <w:sz w:val="32"/>
          <w:szCs w:val="32"/>
          <w:highlight w:val="none"/>
          <w:lang w:val="en-US" w:eastAsia="zh-CN" w:bidi="hi-IN"/>
        </w:rPr>
        <w:t>第</w:t>
      </w:r>
      <w:r>
        <w:rPr>
          <w:rFonts w:hint="eastAsia" w:eastAsia="黑体" w:cs="Times New Roman"/>
          <w:b w:val="0"/>
          <w:bCs/>
          <w:color w:val="auto"/>
          <w:kern w:val="2"/>
          <w:sz w:val="32"/>
          <w:szCs w:val="32"/>
          <w:highlight w:val="none"/>
          <w:lang w:val="en-US" w:eastAsia="zh-CN" w:bidi="hi-IN"/>
        </w:rPr>
        <w:t>十一</w:t>
      </w:r>
      <w:r>
        <w:rPr>
          <w:rFonts w:ascii="Times New Roman" w:hAnsi="Times New Roman" w:eastAsia="黑体" w:cs="Times New Roman"/>
          <w:b w:val="0"/>
          <w:bCs/>
          <w:color w:val="auto"/>
          <w:kern w:val="2"/>
          <w:sz w:val="32"/>
          <w:szCs w:val="32"/>
          <w:highlight w:val="none"/>
          <w:lang w:val="en-US" w:eastAsia="zh-CN" w:bidi="hi-IN"/>
        </w:rPr>
        <w:t>章 评审原则及程序</w:t>
      </w:r>
    </w:p>
    <w:p w14:paraId="5616F700">
      <w:pPr>
        <w:spacing w:line="360" w:lineRule="auto"/>
        <w:ind w:firstLine="640" w:firstLineChars="200"/>
        <w:rPr>
          <w:rFonts w:cs="Times New Roman"/>
          <w:color w:val="auto"/>
          <w:szCs w:val="32"/>
          <w:highlight w:val="none"/>
        </w:rPr>
      </w:pPr>
      <w:r>
        <w:rPr>
          <w:rFonts w:cs="Times New Roman"/>
          <w:color w:val="auto"/>
          <w:szCs w:val="32"/>
          <w:highlight w:val="none"/>
        </w:rPr>
        <w:t>第二十</w:t>
      </w:r>
      <w:r>
        <w:rPr>
          <w:rFonts w:hint="eastAsia" w:cs="Times New Roman"/>
          <w:color w:val="auto"/>
          <w:szCs w:val="32"/>
          <w:highlight w:val="none"/>
          <w:lang w:val="en-US" w:eastAsia="zh-CN"/>
        </w:rPr>
        <w:t>八</w:t>
      </w:r>
      <w:r>
        <w:rPr>
          <w:rFonts w:cs="Times New Roman"/>
          <w:color w:val="auto"/>
          <w:szCs w:val="32"/>
          <w:highlight w:val="none"/>
        </w:rPr>
        <w:t>条 研究生奖学金的评审工作坚持公开、公平、公正、择优的原则。</w:t>
      </w:r>
    </w:p>
    <w:p w14:paraId="7C2F9840">
      <w:pPr>
        <w:spacing w:line="360" w:lineRule="auto"/>
        <w:ind w:firstLine="640" w:firstLineChars="200"/>
        <w:rPr>
          <w:rFonts w:cs="Times New Roman"/>
          <w:color w:val="auto"/>
          <w:szCs w:val="32"/>
          <w:highlight w:val="none"/>
        </w:rPr>
      </w:pPr>
      <w:r>
        <w:rPr>
          <w:rFonts w:cs="Times New Roman"/>
          <w:color w:val="auto"/>
          <w:szCs w:val="32"/>
          <w:highlight w:val="none"/>
        </w:rPr>
        <w:t>第二十</w:t>
      </w:r>
      <w:r>
        <w:rPr>
          <w:rFonts w:hint="eastAsia" w:cs="Times New Roman"/>
          <w:color w:val="auto"/>
          <w:szCs w:val="32"/>
          <w:highlight w:val="none"/>
          <w:lang w:val="en-US" w:eastAsia="zh-CN"/>
        </w:rPr>
        <w:t>九</w:t>
      </w:r>
      <w:r>
        <w:rPr>
          <w:rFonts w:cs="Times New Roman"/>
          <w:color w:val="auto"/>
          <w:szCs w:val="32"/>
          <w:highlight w:val="none"/>
        </w:rPr>
        <w:t>条 奖学金的评定共分二个批次进行。第一批次评定国家奖学金、博士一至三年级学业奖学金</w:t>
      </w:r>
      <w:r>
        <w:rPr>
          <w:rFonts w:hint="eastAsia" w:cs="Times New Roman"/>
          <w:color w:val="auto"/>
          <w:szCs w:val="32"/>
          <w:highlight w:val="none"/>
          <w:lang w:eastAsia="zh-CN"/>
        </w:rPr>
        <w:t>、</w:t>
      </w:r>
      <w:r>
        <w:rPr>
          <w:rFonts w:cs="Times New Roman"/>
          <w:color w:val="auto"/>
          <w:szCs w:val="32"/>
          <w:highlight w:val="none"/>
        </w:rPr>
        <w:t>硕士一</w:t>
      </w:r>
      <w:r>
        <w:rPr>
          <w:rFonts w:hint="eastAsia" w:cs="Times New Roman"/>
          <w:color w:val="auto"/>
          <w:szCs w:val="32"/>
          <w:highlight w:val="none"/>
          <w:lang w:eastAsia="zh-CN"/>
        </w:rPr>
        <w:t>、</w:t>
      </w:r>
      <w:r>
        <w:rPr>
          <w:rFonts w:cs="Times New Roman"/>
          <w:color w:val="auto"/>
          <w:szCs w:val="32"/>
          <w:highlight w:val="none"/>
        </w:rPr>
        <w:t>二年级学业奖学金、单项奖学金，评定时间为每年的秋季学期；第二批次评定</w:t>
      </w:r>
      <w:r>
        <w:rPr>
          <w:rFonts w:hint="eastAsia" w:cs="Times New Roman"/>
          <w:color w:val="auto"/>
          <w:szCs w:val="32"/>
          <w:highlight w:val="none"/>
          <w:lang w:eastAsia="zh-CN"/>
        </w:rPr>
        <w:t>博士四年级、</w:t>
      </w:r>
      <w:r>
        <w:rPr>
          <w:rFonts w:cs="Times New Roman"/>
          <w:color w:val="auto"/>
          <w:szCs w:val="32"/>
          <w:highlight w:val="none"/>
        </w:rPr>
        <w:t>硕士三年级学业奖学金，评定时间为每年的春季学期。</w:t>
      </w:r>
    </w:p>
    <w:p w14:paraId="7DF2DB92">
      <w:pPr>
        <w:spacing w:line="360" w:lineRule="auto"/>
        <w:ind w:firstLine="640" w:firstLineChars="200"/>
        <w:rPr>
          <w:rFonts w:cs="Times New Roman"/>
          <w:color w:val="auto"/>
          <w:szCs w:val="32"/>
          <w:highlight w:val="none"/>
        </w:rPr>
      </w:pPr>
      <w:r>
        <w:rPr>
          <w:rFonts w:cs="Times New Roman"/>
          <w:color w:val="auto"/>
          <w:szCs w:val="32"/>
          <w:highlight w:val="none"/>
        </w:rPr>
        <w:t>第</w:t>
      </w:r>
      <w:r>
        <w:rPr>
          <w:rFonts w:hint="eastAsia" w:cs="Times New Roman"/>
          <w:color w:val="auto"/>
          <w:szCs w:val="32"/>
          <w:highlight w:val="none"/>
          <w:lang w:val="en-US" w:eastAsia="zh-CN"/>
        </w:rPr>
        <w:t>三</w:t>
      </w:r>
      <w:r>
        <w:rPr>
          <w:rFonts w:cs="Times New Roman"/>
          <w:color w:val="auto"/>
          <w:szCs w:val="32"/>
          <w:highlight w:val="none"/>
        </w:rPr>
        <w:t xml:space="preserve">十条 </w:t>
      </w:r>
      <w:r>
        <w:rPr>
          <w:rFonts w:hint="eastAsia" w:cs="Times New Roman"/>
          <w:color w:val="auto"/>
          <w:szCs w:val="32"/>
          <w:highlight w:val="none"/>
        </w:rPr>
        <w:t>评定程序：</w:t>
      </w:r>
    </w:p>
    <w:p w14:paraId="07FAA385">
      <w:pPr>
        <w:spacing w:line="360" w:lineRule="auto"/>
        <w:ind w:firstLine="640" w:firstLineChars="200"/>
        <w:rPr>
          <w:rFonts w:cs="Times New Roman"/>
          <w:color w:val="auto"/>
          <w:szCs w:val="32"/>
          <w:highlight w:val="none"/>
        </w:rPr>
      </w:pPr>
      <w:r>
        <w:rPr>
          <w:rFonts w:hint="eastAsia" w:cs="Times New Roman"/>
          <w:color w:val="auto"/>
          <w:szCs w:val="32"/>
          <w:highlight w:val="none"/>
          <w:lang w:val="en-US" w:eastAsia="zh-CN"/>
        </w:rPr>
        <w:t>1.学院</w:t>
      </w:r>
      <w:r>
        <w:rPr>
          <w:rFonts w:cs="Times New Roman"/>
          <w:color w:val="auto"/>
          <w:szCs w:val="32"/>
          <w:highlight w:val="none"/>
        </w:rPr>
        <w:t>研究生评优评奖工作小组</w:t>
      </w:r>
      <w:r>
        <w:rPr>
          <w:rFonts w:hint="eastAsia" w:cs="Times New Roman"/>
          <w:color w:val="auto"/>
          <w:szCs w:val="32"/>
          <w:highlight w:val="none"/>
        </w:rPr>
        <w:t>将学院奖学金评定细则在学院网站上公布；</w:t>
      </w:r>
    </w:p>
    <w:p w14:paraId="6CD18601">
      <w:pPr>
        <w:spacing w:line="360" w:lineRule="auto"/>
        <w:ind w:firstLine="640" w:firstLineChars="200"/>
        <w:rPr>
          <w:rFonts w:hint="eastAsia" w:eastAsia="仿宋_GB2312" w:cs="Times New Roman"/>
          <w:color w:val="auto"/>
          <w:szCs w:val="32"/>
          <w:highlight w:val="none"/>
          <w:lang w:eastAsia="zh-CN"/>
        </w:rPr>
      </w:pPr>
      <w:r>
        <w:rPr>
          <w:rFonts w:hint="eastAsia" w:cs="Times New Roman"/>
          <w:color w:val="auto"/>
          <w:szCs w:val="32"/>
          <w:highlight w:val="none"/>
        </w:rPr>
        <w:t>2</w:t>
      </w:r>
      <w:r>
        <w:rPr>
          <w:rFonts w:hint="eastAsia" w:cs="Times New Roman"/>
          <w:color w:val="auto"/>
          <w:szCs w:val="32"/>
          <w:highlight w:val="none"/>
          <w:lang w:val="en-US" w:eastAsia="zh-CN"/>
        </w:rPr>
        <w:t>.</w:t>
      </w:r>
      <w:r>
        <w:rPr>
          <w:rFonts w:hint="eastAsia" w:cs="Times New Roman"/>
          <w:color w:val="auto"/>
          <w:szCs w:val="32"/>
          <w:highlight w:val="none"/>
        </w:rPr>
        <w:t>国家奖学金评定由符合申报条件的学生自行申报，</w:t>
      </w:r>
      <w:r>
        <w:rPr>
          <w:rFonts w:hint="eastAsia" w:cs="Times New Roman"/>
          <w:color w:val="auto"/>
          <w:szCs w:val="32"/>
          <w:highlight w:val="none"/>
          <w:lang w:eastAsia="zh-CN"/>
        </w:rPr>
        <w:t>研三</w:t>
      </w:r>
      <w:r>
        <w:rPr>
          <w:rFonts w:hint="eastAsia" w:cs="Times New Roman"/>
          <w:color w:val="auto"/>
          <w:szCs w:val="32"/>
          <w:highlight w:val="none"/>
        </w:rPr>
        <w:t>由研究生科根据国奖文件进行核实组织评定；</w:t>
      </w:r>
      <w:r>
        <w:rPr>
          <w:rFonts w:hint="eastAsia" w:cs="Times New Roman"/>
          <w:color w:val="auto"/>
          <w:szCs w:val="32"/>
          <w:highlight w:val="none"/>
          <w:lang w:eastAsia="zh-CN"/>
        </w:rPr>
        <w:t>研二年级国奖由各班进行综测排序后由学生自行申报，由研究生科进行核定。博士国家奖学金根据学校相应文件规定另行评定。</w:t>
      </w:r>
    </w:p>
    <w:p w14:paraId="747102C8">
      <w:pPr>
        <w:spacing w:line="360" w:lineRule="auto"/>
        <w:ind w:firstLine="640" w:firstLineChars="200"/>
        <w:rPr>
          <w:rFonts w:cs="Times New Roman"/>
          <w:color w:val="auto"/>
          <w:szCs w:val="32"/>
          <w:highlight w:val="none"/>
        </w:rPr>
      </w:pPr>
      <w:r>
        <w:rPr>
          <w:rFonts w:hint="eastAsia" w:cs="Times New Roman"/>
          <w:color w:val="auto"/>
          <w:szCs w:val="32"/>
          <w:highlight w:val="none"/>
        </w:rPr>
        <w:t>3</w:t>
      </w:r>
      <w:r>
        <w:rPr>
          <w:rFonts w:hint="eastAsia" w:cs="Times New Roman"/>
          <w:color w:val="auto"/>
          <w:szCs w:val="32"/>
          <w:highlight w:val="none"/>
          <w:lang w:val="en-US" w:eastAsia="zh-CN"/>
        </w:rPr>
        <w:t>.</w:t>
      </w:r>
      <w:r>
        <w:rPr>
          <w:rFonts w:hint="eastAsia" w:cs="Times New Roman"/>
          <w:color w:val="auto"/>
          <w:szCs w:val="32"/>
          <w:highlight w:val="none"/>
        </w:rPr>
        <w:t>一年级</w:t>
      </w:r>
      <w:r>
        <w:rPr>
          <w:rFonts w:hint="eastAsia" w:cs="Times New Roman"/>
          <w:color w:val="auto"/>
          <w:szCs w:val="32"/>
          <w:highlight w:val="none"/>
          <w:lang w:eastAsia="zh-CN"/>
        </w:rPr>
        <w:t>学业</w:t>
      </w:r>
      <w:r>
        <w:rPr>
          <w:rFonts w:hint="eastAsia" w:cs="Times New Roman"/>
          <w:color w:val="auto"/>
          <w:szCs w:val="32"/>
          <w:highlight w:val="none"/>
        </w:rPr>
        <w:t>奖学金</w:t>
      </w:r>
      <w:r>
        <w:rPr>
          <w:rFonts w:hint="eastAsia" w:cs="Times New Roman"/>
          <w:color w:val="auto"/>
          <w:szCs w:val="32"/>
          <w:highlight w:val="none"/>
          <w:lang w:eastAsia="zh-CN"/>
        </w:rPr>
        <w:t>（新生奖学金）</w:t>
      </w:r>
      <w:r>
        <w:rPr>
          <w:rFonts w:hint="eastAsia" w:cs="Times New Roman"/>
          <w:color w:val="auto"/>
          <w:szCs w:val="32"/>
          <w:highlight w:val="none"/>
        </w:rPr>
        <w:t>由符合申报条件的学生自行系统申报，由研究生科根据</w:t>
      </w:r>
      <w:r>
        <w:rPr>
          <w:rFonts w:hint="eastAsia" w:cs="Times New Roman"/>
          <w:color w:val="auto"/>
          <w:szCs w:val="32"/>
          <w:highlight w:val="none"/>
          <w:lang w:eastAsia="zh-CN"/>
        </w:rPr>
        <w:t>学生提交</w:t>
      </w:r>
      <w:r>
        <w:rPr>
          <w:rFonts w:hint="eastAsia" w:cs="Times New Roman"/>
          <w:color w:val="auto"/>
          <w:szCs w:val="32"/>
          <w:highlight w:val="none"/>
        </w:rPr>
        <w:t>的</w:t>
      </w:r>
      <w:r>
        <w:rPr>
          <w:rFonts w:hint="eastAsia" w:cs="Times New Roman"/>
          <w:color w:val="auto"/>
          <w:szCs w:val="32"/>
          <w:highlight w:val="none"/>
          <w:lang w:val="en-US" w:eastAsia="zh-CN"/>
        </w:rPr>
        <w:t>支撑</w:t>
      </w:r>
      <w:r>
        <w:rPr>
          <w:rFonts w:hint="eastAsia" w:cs="Times New Roman"/>
          <w:color w:val="auto"/>
          <w:szCs w:val="32"/>
          <w:highlight w:val="none"/>
        </w:rPr>
        <w:t>材料进行再核实；</w:t>
      </w:r>
    </w:p>
    <w:p w14:paraId="4013E2FD">
      <w:pPr>
        <w:spacing w:line="360" w:lineRule="auto"/>
        <w:ind w:firstLine="640" w:firstLineChars="200"/>
        <w:rPr>
          <w:rFonts w:hint="eastAsia" w:cs="Times New Roman"/>
          <w:color w:val="auto"/>
          <w:szCs w:val="32"/>
          <w:highlight w:val="none"/>
        </w:rPr>
      </w:pPr>
      <w:r>
        <w:rPr>
          <w:rFonts w:hint="eastAsia" w:cs="Times New Roman"/>
          <w:color w:val="auto"/>
          <w:szCs w:val="32"/>
          <w:highlight w:val="none"/>
        </w:rPr>
        <w:t>4</w:t>
      </w:r>
      <w:r>
        <w:rPr>
          <w:rFonts w:hint="eastAsia" w:cs="Times New Roman"/>
          <w:color w:val="auto"/>
          <w:szCs w:val="32"/>
          <w:highlight w:val="none"/>
          <w:lang w:val="en-US" w:eastAsia="zh-CN"/>
        </w:rPr>
        <w:t>.</w:t>
      </w:r>
      <w:r>
        <w:rPr>
          <w:rFonts w:hint="eastAsia" w:cs="Times New Roman"/>
          <w:color w:val="auto"/>
          <w:szCs w:val="32"/>
          <w:highlight w:val="none"/>
          <w:lang w:eastAsia="zh-CN"/>
        </w:rPr>
        <w:t>其他年级</w:t>
      </w:r>
      <w:r>
        <w:rPr>
          <w:rFonts w:hint="eastAsia" w:cs="Times New Roman"/>
          <w:color w:val="auto"/>
          <w:szCs w:val="32"/>
          <w:highlight w:val="none"/>
        </w:rPr>
        <w:t>学业奖学金评定流程：</w:t>
      </w:r>
    </w:p>
    <w:p w14:paraId="54BFCA29">
      <w:pPr>
        <w:spacing w:line="360" w:lineRule="auto"/>
        <w:ind w:firstLine="640" w:firstLineChars="200"/>
        <w:rPr>
          <w:rFonts w:hint="eastAsia" w:cs="Times New Roman"/>
          <w:color w:val="auto"/>
          <w:szCs w:val="32"/>
          <w:highlight w:val="none"/>
        </w:rPr>
      </w:pPr>
      <w:r>
        <w:rPr>
          <w:rFonts w:hint="eastAsia" w:cs="Times New Roman"/>
          <w:color w:val="auto"/>
          <w:szCs w:val="32"/>
          <w:highlight w:val="none"/>
        </w:rPr>
        <w:t>（1）对</w:t>
      </w:r>
      <w:r>
        <w:rPr>
          <w:rFonts w:hint="eastAsia" w:cs="Times New Roman"/>
          <w:color w:val="auto"/>
          <w:szCs w:val="32"/>
          <w:highlight w:val="none"/>
          <w:lang w:eastAsia="zh-CN"/>
        </w:rPr>
        <w:t>其他年级</w:t>
      </w:r>
      <w:r>
        <w:rPr>
          <w:rFonts w:hint="eastAsia" w:cs="Times New Roman"/>
          <w:color w:val="auto"/>
          <w:szCs w:val="32"/>
          <w:highlight w:val="none"/>
        </w:rPr>
        <w:t>研究生，学院组织成立各年级各专业班级奖学金评定小组（3-5人）；</w:t>
      </w:r>
    </w:p>
    <w:p w14:paraId="09B448FC">
      <w:pPr>
        <w:spacing w:line="360" w:lineRule="auto"/>
        <w:ind w:firstLine="640" w:firstLineChars="200"/>
        <w:rPr>
          <w:rFonts w:hint="eastAsia" w:cs="Times New Roman"/>
          <w:color w:val="auto"/>
          <w:szCs w:val="32"/>
          <w:highlight w:val="none"/>
        </w:rPr>
      </w:pPr>
      <w:r>
        <w:rPr>
          <w:rFonts w:hint="eastAsia" w:cs="Times New Roman"/>
          <w:color w:val="auto"/>
          <w:szCs w:val="32"/>
          <w:highlight w:val="none"/>
        </w:rPr>
        <w:t>（2）研究生个人在研工部系统中填写对应类别奖学金申请，保存提交后打印奖学金申请表；</w:t>
      </w:r>
    </w:p>
    <w:p w14:paraId="745789D6">
      <w:pPr>
        <w:spacing w:line="360" w:lineRule="auto"/>
        <w:ind w:firstLine="640" w:firstLineChars="200"/>
        <w:rPr>
          <w:rFonts w:hint="eastAsia" w:cs="Times New Roman"/>
          <w:color w:val="auto"/>
          <w:szCs w:val="32"/>
          <w:highlight w:val="none"/>
        </w:rPr>
      </w:pPr>
      <w:r>
        <w:rPr>
          <w:rFonts w:hint="eastAsia" w:cs="Times New Roman"/>
          <w:color w:val="auto"/>
          <w:szCs w:val="32"/>
          <w:highlight w:val="none"/>
        </w:rPr>
        <w:t>（3）班级奖学金评定小组对申请人提供的申请表及支撑材料进行审查，根据学院奖学金评定细则算出全班参评学生综合成绩及排序，并在班级内公示至少3天；</w:t>
      </w:r>
    </w:p>
    <w:p w14:paraId="186888EE">
      <w:pPr>
        <w:spacing w:line="360" w:lineRule="auto"/>
        <w:ind w:firstLine="640" w:firstLineChars="200"/>
        <w:rPr>
          <w:rFonts w:cs="Times New Roman"/>
          <w:color w:val="auto"/>
          <w:szCs w:val="32"/>
          <w:highlight w:val="none"/>
        </w:rPr>
      </w:pPr>
      <w:r>
        <w:rPr>
          <w:rFonts w:hint="eastAsia" w:cs="Times New Roman"/>
          <w:color w:val="auto"/>
          <w:szCs w:val="32"/>
          <w:highlight w:val="none"/>
        </w:rPr>
        <w:t>（4）班级评定小组全体签名后将排名结果（汇总表）及学生申报材料报送学院研究生科</w:t>
      </w:r>
      <w:r>
        <w:rPr>
          <w:rFonts w:hint="eastAsia" w:cs="Times New Roman"/>
          <w:color w:val="auto"/>
          <w:szCs w:val="32"/>
          <w:highlight w:val="none"/>
          <w:lang w:eastAsia="zh-CN"/>
        </w:rPr>
        <w:t>。</w:t>
      </w:r>
    </w:p>
    <w:p w14:paraId="4EC35D27">
      <w:pPr>
        <w:spacing w:line="360" w:lineRule="auto"/>
        <w:ind w:firstLine="640" w:firstLineChars="200"/>
        <w:rPr>
          <w:rFonts w:cs="Times New Roman"/>
          <w:color w:val="auto"/>
          <w:szCs w:val="32"/>
          <w:highlight w:val="none"/>
        </w:rPr>
      </w:pPr>
      <w:r>
        <w:rPr>
          <w:rFonts w:hint="eastAsia" w:cs="Times New Roman"/>
          <w:color w:val="auto"/>
          <w:szCs w:val="32"/>
          <w:highlight w:val="none"/>
        </w:rPr>
        <w:t>5</w:t>
      </w:r>
      <w:r>
        <w:rPr>
          <w:rFonts w:hint="eastAsia" w:cs="Times New Roman"/>
          <w:color w:val="auto"/>
          <w:szCs w:val="32"/>
          <w:highlight w:val="none"/>
          <w:lang w:val="en-US" w:eastAsia="zh-CN"/>
        </w:rPr>
        <w:t>.</w:t>
      </w:r>
      <w:r>
        <w:rPr>
          <w:rFonts w:hint="eastAsia" w:cs="Times New Roman"/>
          <w:color w:val="auto"/>
          <w:szCs w:val="32"/>
          <w:highlight w:val="none"/>
        </w:rPr>
        <w:t>学院奖学金评定领导小组对个人及各班上报的奖学金材料进行</w:t>
      </w:r>
      <w:r>
        <w:rPr>
          <w:rFonts w:hint="eastAsia" w:cs="Times New Roman"/>
          <w:color w:val="auto"/>
          <w:szCs w:val="32"/>
          <w:highlight w:val="none"/>
          <w:lang w:val="en-US" w:eastAsia="zh-CN"/>
        </w:rPr>
        <w:t>审核</w:t>
      </w:r>
      <w:r>
        <w:rPr>
          <w:rFonts w:hint="eastAsia" w:cs="Times New Roman"/>
          <w:color w:val="auto"/>
          <w:szCs w:val="32"/>
          <w:highlight w:val="none"/>
        </w:rPr>
        <w:t>，并根据学校最终下达奖学金金额按专业人数比分配出各专业推荐名额及等级，再按综合排名顺序划出获奖学生名单，最终评选结果挂学院网站公示</w:t>
      </w:r>
      <w:r>
        <w:rPr>
          <w:rFonts w:hint="eastAsia" w:cs="Times New Roman"/>
          <w:color w:val="auto"/>
          <w:szCs w:val="32"/>
          <w:highlight w:val="none"/>
          <w:lang w:val="en-US" w:eastAsia="zh-CN"/>
        </w:rPr>
        <w:t>5个工作日，</w:t>
      </w:r>
      <w:r>
        <w:rPr>
          <w:rFonts w:hint="eastAsia" w:cs="Times New Roman"/>
          <w:color w:val="auto"/>
          <w:szCs w:val="32"/>
          <w:highlight w:val="none"/>
        </w:rPr>
        <w:t>并上报党委研究生工作部。</w:t>
      </w:r>
      <w:r>
        <w:rPr>
          <w:rFonts w:cs="Times New Roman"/>
          <w:color w:val="auto"/>
          <w:szCs w:val="32"/>
          <w:highlight w:val="none"/>
        </w:rPr>
        <w:t>若无异议，</w:t>
      </w:r>
      <w:r>
        <w:rPr>
          <w:rFonts w:hint="eastAsia" w:cs="Times New Roman"/>
          <w:color w:val="auto"/>
          <w:szCs w:val="32"/>
          <w:highlight w:val="none"/>
          <w:lang w:val="en-US" w:eastAsia="zh-CN"/>
        </w:rPr>
        <w:t>初审</w:t>
      </w:r>
      <w:r>
        <w:rPr>
          <w:rFonts w:cs="Times New Roman"/>
          <w:color w:val="auto"/>
          <w:szCs w:val="32"/>
          <w:highlight w:val="none"/>
        </w:rPr>
        <w:t>结果报研究生管理工作处。</w:t>
      </w:r>
    </w:p>
    <w:p w14:paraId="31BF1749">
      <w:pPr>
        <w:spacing w:line="360" w:lineRule="auto"/>
        <w:ind w:firstLine="640" w:firstLineChars="200"/>
        <w:rPr>
          <w:rFonts w:cs="Times New Roman"/>
          <w:color w:val="auto"/>
          <w:szCs w:val="32"/>
          <w:highlight w:val="none"/>
        </w:rPr>
      </w:pPr>
      <w:r>
        <w:rPr>
          <w:rFonts w:hint="eastAsia" w:cs="Times New Roman"/>
          <w:color w:val="auto"/>
          <w:szCs w:val="32"/>
          <w:highlight w:val="none"/>
          <w:lang w:val="en-US" w:eastAsia="zh-CN"/>
        </w:rPr>
        <w:t>6.</w:t>
      </w:r>
      <w:r>
        <w:rPr>
          <w:rFonts w:cs="Times New Roman"/>
          <w:color w:val="auto"/>
          <w:szCs w:val="32"/>
          <w:highlight w:val="none"/>
        </w:rPr>
        <w:t>校学生评优评奖委员会对</w:t>
      </w:r>
      <w:r>
        <w:rPr>
          <w:rFonts w:hint="eastAsia" w:cs="Times New Roman"/>
          <w:color w:val="auto"/>
          <w:szCs w:val="32"/>
          <w:highlight w:val="none"/>
          <w:lang w:val="en-US" w:eastAsia="zh-CN"/>
        </w:rPr>
        <w:t>初审</w:t>
      </w:r>
      <w:r>
        <w:rPr>
          <w:rFonts w:cs="Times New Roman"/>
          <w:color w:val="auto"/>
          <w:szCs w:val="32"/>
          <w:highlight w:val="none"/>
        </w:rPr>
        <w:t>结果进行审定，审定结果在全校范围内进行不少于5个工作日的公示。若有异议，可在公示期间向研究生管理工作处书面反映，研究生管理工作处应及时调查并给出处理意见，必要时报校学生评优评奖委员会处理。公示无异议后，学校进行表彰、奖励。</w:t>
      </w:r>
    </w:p>
    <w:p w14:paraId="1C152E45">
      <w:pPr>
        <w:spacing w:line="360" w:lineRule="auto"/>
        <w:ind w:firstLine="640" w:firstLineChars="200"/>
        <w:rPr>
          <w:rFonts w:cs="Times New Roman"/>
          <w:color w:val="auto"/>
          <w:szCs w:val="32"/>
          <w:highlight w:val="none"/>
        </w:rPr>
      </w:pPr>
      <w:r>
        <w:rPr>
          <w:rFonts w:cs="Times New Roman"/>
          <w:color w:val="auto"/>
          <w:szCs w:val="32"/>
          <w:highlight w:val="none"/>
        </w:rPr>
        <w:t>第</w:t>
      </w:r>
      <w:r>
        <w:rPr>
          <w:rFonts w:hint="eastAsia" w:cs="Times New Roman"/>
          <w:color w:val="auto"/>
          <w:szCs w:val="32"/>
          <w:highlight w:val="none"/>
          <w:lang w:val="en-US" w:eastAsia="zh-CN"/>
        </w:rPr>
        <w:t>三</w:t>
      </w:r>
      <w:r>
        <w:rPr>
          <w:rFonts w:cs="Times New Roman"/>
          <w:color w:val="auto"/>
          <w:szCs w:val="32"/>
          <w:highlight w:val="none"/>
        </w:rPr>
        <w:t>十</w:t>
      </w:r>
      <w:r>
        <w:rPr>
          <w:rFonts w:hint="eastAsia" w:cs="Times New Roman"/>
          <w:color w:val="auto"/>
          <w:szCs w:val="32"/>
          <w:highlight w:val="none"/>
          <w:lang w:val="en-US" w:eastAsia="zh-CN"/>
        </w:rPr>
        <w:t>一</w:t>
      </w:r>
      <w:r>
        <w:rPr>
          <w:rFonts w:cs="Times New Roman"/>
          <w:color w:val="auto"/>
          <w:szCs w:val="32"/>
          <w:highlight w:val="none"/>
        </w:rPr>
        <w:t xml:space="preserve">条 </w:t>
      </w:r>
      <w:bookmarkStart w:id="10" w:name="OLE_LINK1"/>
      <w:r>
        <w:rPr>
          <w:rFonts w:cs="Times New Roman"/>
          <w:color w:val="auto"/>
          <w:szCs w:val="32"/>
          <w:highlight w:val="none"/>
        </w:rPr>
        <w:t>保留学籍、休学的研究生，暂停发放奖学金，复学后再行发放，扣除保留学籍、休学年限后，发放年限不超过规定学制年限。</w:t>
      </w:r>
    </w:p>
    <w:p w14:paraId="48F64E19">
      <w:pPr>
        <w:spacing w:line="360" w:lineRule="auto"/>
        <w:ind w:firstLine="640" w:firstLineChars="200"/>
        <w:rPr>
          <w:rFonts w:cs="Times New Roman"/>
          <w:color w:val="auto"/>
          <w:szCs w:val="32"/>
          <w:highlight w:val="none"/>
        </w:rPr>
      </w:pPr>
      <w:r>
        <w:rPr>
          <w:rFonts w:hint="eastAsia" w:cs="Times New Roman"/>
          <w:color w:val="auto"/>
          <w:szCs w:val="32"/>
          <w:highlight w:val="none"/>
        </w:rPr>
        <w:t>第</w:t>
      </w:r>
      <w:r>
        <w:rPr>
          <w:rFonts w:hint="eastAsia" w:cs="Times New Roman"/>
          <w:color w:val="auto"/>
          <w:szCs w:val="32"/>
          <w:highlight w:val="none"/>
          <w:lang w:val="en-US" w:eastAsia="zh-CN"/>
        </w:rPr>
        <w:t>三十二</w:t>
      </w:r>
      <w:r>
        <w:rPr>
          <w:rFonts w:hint="eastAsia" w:cs="Times New Roman"/>
          <w:color w:val="auto"/>
          <w:szCs w:val="32"/>
          <w:highlight w:val="none"/>
        </w:rPr>
        <w:t>条</w:t>
      </w:r>
      <w:r>
        <w:rPr>
          <w:rFonts w:cs="Times New Roman"/>
          <w:color w:val="auto"/>
          <w:szCs w:val="32"/>
          <w:highlight w:val="none"/>
        </w:rPr>
        <w:t xml:space="preserve"> </w:t>
      </w:r>
      <w:r>
        <w:rPr>
          <w:rFonts w:hint="eastAsia" w:cs="Times New Roman"/>
          <w:color w:val="auto"/>
          <w:szCs w:val="32"/>
          <w:highlight w:val="none"/>
        </w:rPr>
        <w:t>公示过程中学院奖学金评定领导小组只接受异议者的实名书面逐级举报，凡发现有弄虚作假者，取消其当年各类奖学金的评选资格。</w:t>
      </w:r>
    </w:p>
    <w:bookmarkEnd w:id="10"/>
    <w:p w14:paraId="7451DE20">
      <w:pPr>
        <w:keepNext/>
        <w:keepLines/>
        <w:widowControl w:val="0"/>
        <w:spacing w:before="0" w:after="0" w:line="560" w:lineRule="exact"/>
        <w:jc w:val="center"/>
        <w:outlineLvl w:val="1"/>
        <w:rPr>
          <w:rFonts w:ascii="Times New Roman" w:hAnsi="Times New Roman" w:eastAsia="黑体" w:cs="Times New Roman"/>
          <w:b w:val="0"/>
          <w:bCs/>
          <w:color w:val="auto"/>
          <w:kern w:val="2"/>
          <w:sz w:val="32"/>
          <w:szCs w:val="32"/>
          <w:highlight w:val="none"/>
          <w:lang w:val="en-US" w:eastAsia="zh-CN" w:bidi="hi-IN"/>
        </w:rPr>
      </w:pPr>
      <w:r>
        <w:rPr>
          <w:rFonts w:ascii="Times New Roman" w:hAnsi="Times New Roman" w:eastAsia="黑体" w:cs="Times New Roman"/>
          <w:b w:val="0"/>
          <w:bCs/>
          <w:color w:val="auto"/>
          <w:kern w:val="2"/>
          <w:sz w:val="32"/>
          <w:szCs w:val="32"/>
          <w:highlight w:val="none"/>
          <w:lang w:val="en-US" w:eastAsia="zh-CN" w:bidi="hi-IN"/>
        </w:rPr>
        <w:t>第</w:t>
      </w:r>
      <w:r>
        <w:rPr>
          <w:rFonts w:hint="eastAsia" w:eastAsia="黑体" w:cs="Times New Roman"/>
          <w:b w:val="0"/>
          <w:bCs/>
          <w:color w:val="auto"/>
          <w:kern w:val="2"/>
          <w:sz w:val="32"/>
          <w:szCs w:val="32"/>
          <w:highlight w:val="none"/>
          <w:lang w:val="en-US" w:eastAsia="zh-CN" w:bidi="hi-IN"/>
        </w:rPr>
        <w:t>十二</w:t>
      </w:r>
      <w:r>
        <w:rPr>
          <w:rFonts w:ascii="Times New Roman" w:hAnsi="Times New Roman" w:eastAsia="黑体" w:cs="Times New Roman"/>
          <w:b w:val="0"/>
          <w:bCs/>
          <w:color w:val="auto"/>
          <w:kern w:val="2"/>
          <w:sz w:val="32"/>
          <w:szCs w:val="32"/>
          <w:highlight w:val="none"/>
          <w:lang w:val="en-US" w:eastAsia="zh-CN" w:bidi="hi-IN"/>
        </w:rPr>
        <w:t>章 附则</w:t>
      </w:r>
    </w:p>
    <w:p w14:paraId="4E706278">
      <w:pPr>
        <w:spacing w:line="360" w:lineRule="auto"/>
        <w:ind w:firstLine="640" w:firstLineChars="200"/>
        <w:rPr>
          <w:rFonts w:cs="Times New Roman"/>
          <w:color w:val="auto"/>
          <w:szCs w:val="32"/>
          <w:highlight w:val="none"/>
        </w:rPr>
      </w:pPr>
      <w:r>
        <w:rPr>
          <w:rFonts w:hint="eastAsia" w:cs="Times New Roman"/>
          <w:color w:val="auto"/>
          <w:szCs w:val="32"/>
          <w:highlight w:val="none"/>
        </w:rPr>
        <w:t>第三十</w:t>
      </w:r>
      <w:r>
        <w:rPr>
          <w:rFonts w:hint="eastAsia" w:cs="Times New Roman"/>
          <w:color w:val="auto"/>
          <w:szCs w:val="32"/>
          <w:highlight w:val="none"/>
          <w:lang w:val="en-US" w:eastAsia="zh-CN"/>
        </w:rPr>
        <w:t>三</w:t>
      </w:r>
      <w:r>
        <w:rPr>
          <w:rFonts w:hint="eastAsia" w:cs="Times New Roman"/>
          <w:color w:val="auto"/>
          <w:szCs w:val="32"/>
          <w:highlight w:val="none"/>
        </w:rPr>
        <w:t xml:space="preserve">条 </w:t>
      </w:r>
      <w:r>
        <w:rPr>
          <w:rFonts w:cs="Times New Roman"/>
          <w:color w:val="auto"/>
          <w:szCs w:val="32"/>
          <w:highlight w:val="none"/>
        </w:rPr>
        <w:t>奖学金的评定坚持公平、公正、公开的原则，宁缺毋滥。评定过程中作假者取消当年各类评奖资格，退回奖金</w:t>
      </w:r>
      <w:r>
        <w:rPr>
          <w:rFonts w:hint="eastAsia" w:cs="Times New Roman"/>
          <w:color w:val="auto"/>
          <w:szCs w:val="32"/>
          <w:highlight w:val="none"/>
        </w:rPr>
        <w:t>及</w:t>
      </w:r>
      <w:r>
        <w:rPr>
          <w:rFonts w:cs="Times New Roman"/>
          <w:color w:val="auto"/>
          <w:szCs w:val="32"/>
          <w:highlight w:val="none"/>
        </w:rPr>
        <w:t>证书并根据学校规定追究相应违纪违规责任。</w:t>
      </w:r>
    </w:p>
    <w:p w14:paraId="2D5757DC">
      <w:pPr>
        <w:spacing w:line="360" w:lineRule="auto"/>
        <w:ind w:firstLine="640" w:firstLineChars="200"/>
        <w:rPr>
          <w:rFonts w:cs="Times New Roman"/>
          <w:color w:val="auto"/>
          <w:szCs w:val="32"/>
          <w:highlight w:val="none"/>
        </w:rPr>
      </w:pPr>
      <w:r>
        <w:rPr>
          <w:rFonts w:hint="eastAsia" w:cs="Times New Roman"/>
          <w:color w:val="auto"/>
          <w:szCs w:val="32"/>
          <w:highlight w:val="none"/>
        </w:rPr>
        <w:t>第三十</w:t>
      </w:r>
      <w:r>
        <w:rPr>
          <w:rFonts w:hint="eastAsia" w:cs="Times New Roman"/>
          <w:color w:val="auto"/>
          <w:szCs w:val="32"/>
          <w:highlight w:val="none"/>
          <w:lang w:val="en-US" w:eastAsia="zh-CN"/>
        </w:rPr>
        <w:t>四</w:t>
      </w:r>
      <w:r>
        <w:rPr>
          <w:rFonts w:hint="eastAsia" w:cs="Times New Roman"/>
          <w:color w:val="auto"/>
          <w:szCs w:val="32"/>
          <w:highlight w:val="none"/>
        </w:rPr>
        <w:t xml:space="preserve">条 </w:t>
      </w:r>
      <w:r>
        <w:rPr>
          <w:rFonts w:cs="Times New Roman"/>
          <w:color w:val="auto"/>
          <w:szCs w:val="32"/>
          <w:highlight w:val="none"/>
        </w:rPr>
        <w:t>本《细则》</w:t>
      </w:r>
      <w:r>
        <w:rPr>
          <w:rFonts w:hint="eastAsia" w:cs="Times New Roman"/>
          <w:color w:val="auto"/>
          <w:szCs w:val="32"/>
          <w:highlight w:val="none"/>
        </w:rPr>
        <w:t>自发布之日起生效</w:t>
      </w:r>
      <w:r>
        <w:rPr>
          <w:rFonts w:cs="Times New Roman"/>
          <w:color w:val="auto"/>
          <w:szCs w:val="32"/>
          <w:highlight w:val="none"/>
        </w:rPr>
        <w:t>。2024级及以后研究生奖学金评定按本办法执行。2023级及以前研究生奖学金评定执行《</w:t>
      </w:r>
      <w:r>
        <w:rPr>
          <w:rFonts w:hint="eastAsia" w:cs="Times New Roman"/>
          <w:color w:val="auto"/>
          <w:szCs w:val="32"/>
          <w:highlight w:val="none"/>
        </w:rPr>
        <w:t>公共管理学院研究生奖学金评定细则（2022年修订）</w:t>
      </w:r>
      <w:r>
        <w:rPr>
          <w:rFonts w:hint="eastAsia" w:cs="Times New Roman"/>
          <w:color w:val="auto"/>
          <w:szCs w:val="32"/>
          <w:highlight w:val="none"/>
          <w:lang w:eastAsia="zh-CN"/>
        </w:rPr>
        <w:t>》</w:t>
      </w:r>
      <w:r>
        <w:rPr>
          <w:rFonts w:cs="Times New Roman"/>
          <w:color w:val="auto"/>
          <w:szCs w:val="32"/>
          <w:highlight w:val="none"/>
        </w:rPr>
        <w:t>和本办法第二十条。</w:t>
      </w:r>
    </w:p>
    <w:p w14:paraId="3A36D2E0">
      <w:pPr>
        <w:spacing w:line="360" w:lineRule="auto"/>
        <w:ind w:firstLine="640" w:firstLineChars="200"/>
        <w:rPr>
          <w:rFonts w:cs="Times New Roman"/>
          <w:color w:val="auto"/>
          <w:szCs w:val="32"/>
          <w:highlight w:val="none"/>
        </w:rPr>
      </w:pPr>
      <w:r>
        <w:rPr>
          <w:rFonts w:hint="eastAsia" w:cs="Times New Roman"/>
          <w:color w:val="auto"/>
          <w:szCs w:val="32"/>
          <w:highlight w:val="none"/>
        </w:rPr>
        <w:t>第三十</w:t>
      </w:r>
      <w:r>
        <w:rPr>
          <w:rFonts w:hint="eastAsia" w:cs="Times New Roman"/>
          <w:color w:val="auto"/>
          <w:szCs w:val="32"/>
          <w:highlight w:val="none"/>
          <w:lang w:val="en-US" w:eastAsia="zh-CN"/>
        </w:rPr>
        <w:t>五</w:t>
      </w:r>
      <w:r>
        <w:rPr>
          <w:rFonts w:hint="eastAsia" w:cs="Times New Roman"/>
          <w:color w:val="auto"/>
          <w:szCs w:val="32"/>
          <w:highlight w:val="none"/>
        </w:rPr>
        <w:t xml:space="preserve">条 </w:t>
      </w:r>
      <w:r>
        <w:rPr>
          <w:rFonts w:cs="Times New Roman"/>
          <w:color w:val="auto"/>
          <w:szCs w:val="32"/>
          <w:highlight w:val="none"/>
        </w:rPr>
        <w:t>本</w:t>
      </w:r>
      <w:r>
        <w:rPr>
          <w:rFonts w:hint="eastAsia" w:cs="Times New Roman"/>
          <w:color w:val="auto"/>
          <w:szCs w:val="32"/>
          <w:highlight w:val="none"/>
        </w:rPr>
        <w:t>《细则》</w:t>
      </w:r>
      <w:r>
        <w:rPr>
          <w:rFonts w:cs="Times New Roman"/>
          <w:color w:val="auto"/>
          <w:szCs w:val="32"/>
          <w:highlight w:val="none"/>
        </w:rPr>
        <w:t>的解释权归</w:t>
      </w:r>
      <w:r>
        <w:rPr>
          <w:rFonts w:hint="eastAsia" w:cs="Times New Roman"/>
          <w:color w:val="auto"/>
          <w:szCs w:val="32"/>
          <w:highlight w:val="none"/>
        </w:rPr>
        <w:t>公共管理</w:t>
      </w:r>
      <w:r>
        <w:rPr>
          <w:rFonts w:cs="Times New Roman"/>
          <w:color w:val="auto"/>
          <w:szCs w:val="32"/>
          <w:highlight w:val="none"/>
        </w:rPr>
        <w:t>学院。</w:t>
      </w:r>
    </w:p>
    <w:p w14:paraId="7D5F569A">
      <w:pPr>
        <w:spacing w:line="560" w:lineRule="exact"/>
        <w:ind w:firstLine="640" w:firstLineChars="200"/>
        <w:rPr>
          <w:rFonts w:cs="Times New Roman"/>
          <w:color w:val="auto"/>
          <w:szCs w:val="32"/>
          <w:highlight w:val="none"/>
        </w:rPr>
      </w:pPr>
    </w:p>
    <w:p w14:paraId="781922E1">
      <w:pPr>
        <w:spacing w:line="360" w:lineRule="auto"/>
        <w:ind w:firstLine="640" w:firstLineChars="200"/>
        <w:rPr>
          <w:rFonts w:cs="Times New Roman"/>
          <w:color w:val="auto"/>
          <w:szCs w:val="32"/>
          <w:highlight w:val="none"/>
        </w:rPr>
      </w:pPr>
      <w:r>
        <w:rPr>
          <w:rFonts w:cs="Times New Roman"/>
          <w:color w:val="auto"/>
          <w:szCs w:val="32"/>
          <w:highlight w:val="none"/>
        </w:rPr>
        <w:t>附件：</w:t>
      </w:r>
    </w:p>
    <w:p w14:paraId="7CA2FA29">
      <w:pPr>
        <w:spacing w:line="360" w:lineRule="auto"/>
        <w:ind w:firstLine="640" w:firstLineChars="200"/>
        <w:rPr>
          <w:rFonts w:cs="Times New Roman"/>
          <w:color w:val="auto"/>
          <w:szCs w:val="32"/>
          <w:highlight w:val="none"/>
        </w:rPr>
      </w:pPr>
      <w:r>
        <w:rPr>
          <w:rFonts w:cs="Times New Roman"/>
          <w:color w:val="auto"/>
          <w:szCs w:val="32"/>
          <w:highlight w:val="none"/>
        </w:rPr>
        <w:t>1.贵州大学</w:t>
      </w:r>
      <w:r>
        <w:rPr>
          <w:rFonts w:hint="eastAsia" w:cs="Times New Roman"/>
          <w:color w:val="auto"/>
          <w:szCs w:val="32"/>
          <w:highlight w:val="none"/>
          <w:lang w:val="en-US" w:eastAsia="zh-CN"/>
        </w:rPr>
        <w:t>公共管理学院</w:t>
      </w:r>
      <w:r>
        <w:rPr>
          <w:rFonts w:cs="Times New Roman"/>
          <w:color w:val="auto"/>
          <w:szCs w:val="32"/>
          <w:highlight w:val="none"/>
        </w:rPr>
        <w:t>研究生奖学金量化评分细则（</w:t>
      </w:r>
      <w:r>
        <w:rPr>
          <w:rFonts w:hint="eastAsia" w:cs="Times New Roman"/>
          <w:color w:val="auto"/>
          <w:szCs w:val="32"/>
          <w:highlight w:val="none"/>
          <w:lang w:val="en-US" w:eastAsia="zh-CN"/>
        </w:rPr>
        <w:t>国家奖学金、</w:t>
      </w:r>
      <w:r>
        <w:rPr>
          <w:rFonts w:cs="Times New Roman"/>
          <w:color w:val="auto"/>
          <w:szCs w:val="32"/>
          <w:highlight w:val="none"/>
        </w:rPr>
        <w:t>等级奖学金）</w:t>
      </w:r>
    </w:p>
    <w:p w14:paraId="43BE43CD">
      <w:pPr>
        <w:spacing w:line="360" w:lineRule="auto"/>
        <w:ind w:firstLine="640" w:firstLineChars="200"/>
        <w:rPr>
          <w:rFonts w:hint="eastAsia" w:cs="Times New Roman"/>
          <w:color w:val="auto"/>
          <w:szCs w:val="32"/>
          <w:highlight w:val="none"/>
        </w:rPr>
        <w:sectPr>
          <w:footerReference r:id="rId3" w:type="default"/>
          <w:pgSz w:w="11906" w:h="16838"/>
          <w:pgMar w:top="1440" w:right="1800" w:bottom="1440" w:left="1800" w:header="851" w:footer="992" w:gutter="0"/>
          <w:cols w:space="425" w:num="1"/>
          <w:docGrid w:type="lines" w:linePitch="312" w:charSpace="0"/>
        </w:sectPr>
      </w:pPr>
      <w:r>
        <w:rPr>
          <w:rFonts w:cs="Times New Roman"/>
          <w:color w:val="auto"/>
          <w:szCs w:val="32"/>
          <w:highlight w:val="none"/>
        </w:rPr>
        <w:t>2.贵州大学</w:t>
      </w:r>
      <w:r>
        <w:rPr>
          <w:rFonts w:hint="eastAsia" w:cs="Times New Roman"/>
          <w:color w:val="auto"/>
          <w:szCs w:val="32"/>
          <w:highlight w:val="none"/>
          <w:lang w:val="en-US" w:eastAsia="zh-CN"/>
        </w:rPr>
        <w:t>公共管理学院</w:t>
      </w:r>
      <w:r>
        <w:rPr>
          <w:rFonts w:cs="Times New Roman"/>
          <w:color w:val="auto"/>
          <w:szCs w:val="32"/>
          <w:highlight w:val="none"/>
        </w:rPr>
        <w:t>研究生奖学金量化评分细则（单项奖学</w:t>
      </w:r>
      <w:r>
        <w:rPr>
          <w:rFonts w:hint="eastAsia" w:cs="Times New Roman"/>
          <w:color w:val="auto"/>
          <w:szCs w:val="32"/>
          <w:highlight w:val="none"/>
          <w:lang w:val="en-US" w:eastAsia="zh-CN"/>
        </w:rPr>
        <w:t>金）</w:t>
      </w:r>
    </w:p>
    <w:p w14:paraId="4AA2736E">
      <w:pPr>
        <w:rPr>
          <w:rFonts w:eastAsia="黑体" w:cs="Times New Roman"/>
          <w:color w:val="auto"/>
          <w:szCs w:val="32"/>
          <w:highlight w:val="none"/>
        </w:rPr>
      </w:pPr>
      <w:r>
        <w:rPr>
          <w:rFonts w:eastAsia="黑体" w:cs="Times New Roman"/>
          <w:color w:val="auto"/>
          <w:szCs w:val="32"/>
          <w:highlight w:val="none"/>
        </w:rPr>
        <w:t>附件1</w:t>
      </w:r>
    </w:p>
    <w:p w14:paraId="4C8C77DA">
      <w:pPr>
        <w:spacing w:line="560" w:lineRule="exact"/>
        <w:jc w:val="center"/>
        <w:rPr>
          <w:rFonts w:eastAsia="方正小标宋简体" w:cs="Times New Roman"/>
          <w:color w:val="auto"/>
          <w:sz w:val="40"/>
          <w:szCs w:val="32"/>
          <w:highlight w:val="none"/>
        </w:rPr>
      </w:pPr>
      <w:r>
        <w:rPr>
          <w:rFonts w:eastAsia="方正小标宋简体" w:cs="Times New Roman"/>
          <w:color w:val="auto"/>
          <w:sz w:val="40"/>
          <w:szCs w:val="32"/>
          <w:highlight w:val="none"/>
        </w:rPr>
        <w:t>贵州大学</w:t>
      </w:r>
      <w:r>
        <w:rPr>
          <w:rFonts w:hint="eastAsia" w:eastAsia="方正小标宋简体" w:cs="Times New Roman"/>
          <w:color w:val="auto"/>
          <w:sz w:val="40"/>
          <w:szCs w:val="32"/>
          <w:highlight w:val="none"/>
          <w:lang w:val="en-US" w:eastAsia="zh-CN"/>
        </w:rPr>
        <w:t>公共管理学院</w:t>
      </w:r>
      <w:r>
        <w:rPr>
          <w:rFonts w:eastAsia="方正小标宋简体" w:cs="Times New Roman"/>
          <w:color w:val="auto"/>
          <w:sz w:val="40"/>
          <w:szCs w:val="32"/>
          <w:highlight w:val="none"/>
        </w:rPr>
        <w:t>研究生奖学金量化评分细则（</w:t>
      </w:r>
      <w:r>
        <w:rPr>
          <w:rFonts w:hint="eastAsia" w:eastAsia="方正小标宋简体" w:cs="Times New Roman"/>
          <w:color w:val="auto"/>
          <w:sz w:val="40"/>
          <w:szCs w:val="32"/>
          <w:highlight w:val="none"/>
          <w:lang w:val="en-US" w:eastAsia="zh-CN"/>
        </w:rPr>
        <w:t>国家、</w:t>
      </w:r>
      <w:r>
        <w:rPr>
          <w:rFonts w:eastAsia="方正小标宋简体" w:cs="Times New Roman"/>
          <w:color w:val="auto"/>
          <w:sz w:val="40"/>
          <w:szCs w:val="32"/>
          <w:highlight w:val="none"/>
        </w:rPr>
        <w:t>等级奖学金）</w:t>
      </w:r>
    </w:p>
    <w:p w14:paraId="351F5AFD">
      <w:pPr>
        <w:spacing w:line="560" w:lineRule="exact"/>
        <w:jc w:val="center"/>
        <w:rPr>
          <w:rFonts w:eastAsia="方正小标宋简体" w:cs="Times New Roman"/>
          <w:color w:val="auto"/>
          <w:sz w:val="40"/>
          <w:szCs w:val="32"/>
          <w:highlight w:val="none"/>
        </w:rPr>
      </w:pPr>
    </w:p>
    <w:tbl>
      <w:tblPr>
        <w:tblStyle w:val="6"/>
        <w:tblW w:w="141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377"/>
        <w:gridCol w:w="2461"/>
        <w:gridCol w:w="9394"/>
      </w:tblGrid>
      <w:tr w14:paraId="654E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530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类别</w:t>
            </w:r>
          </w:p>
        </w:tc>
        <w:tc>
          <w:tcPr>
            <w:tcW w:w="3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92FC7">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类别</w:t>
            </w:r>
          </w:p>
          <w:p w14:paraId="3B22CDC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项目代码及内容</w:t>
            </w:r>
          </w:p>
        </w:tc>
        <w:tc>
          <w:tcPr>
            <w:tcW w:w="9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FF2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评分标准</w:t>
            </w:r>
          </w:p>
        </w:tc>
      </w:tr>
      <w:tr w14:paraId="3039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AC7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A德育</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D7C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A1荣誉表彰</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7DE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A11荣誉表彰及事迹</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4DC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1、加分标准</w:t>
            </w:r>
            <w:r>
              <w:rPr>
                <w:rFonts w:hint="eastAsia" w:ascii="宋体" w:hAnsi="宋体" w:eastAsia="宋体" w:cs="宋体"/>
                <w:i w:val="0"/>
                <w:iCs w:val="0"/>
                <w:color w:val="auto"/>
                <w:kern w:val="0"/>
                <w:sz w:val="22"/>
                <w:szCs w:val="22"/>
                <w:highlight w:val="none"/>
                <w:u w:val="none"/>
                <w:lang w:val="en-US" w:eastAsia="zh-CN" w:bidi="ar"/>
              </w:rPr>
              <w:t>：国际30分、国家级25分、省部级20分、市厅级15分、校级8分、院级5分。</w:t>
            </w:r>
          </w:p>
          <w:p w14:paraId="3F2932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2、加分说明：</w:t>
            </w:r>
            <w:r>
              <w:rPr>
                <w:rFonts w:hint="eastAsia" w:ascii="宋体" w:hAnsi="宋体" w:eastAsia="宋体" w:cs="宋体"/>
                <w:b w:val="0"/>
                <w:bCs w:val="0"/>
                <w:i w:val="0"/>
                <w:iCs w:val="0"/>
                <w:color w:val="auto"/>
                <w:kern w:val="0"/>
                <w:sz w:val="22"/>
                <w:szCs w:val="22"/>
                <w:highlight w:val="none"/>
                <w:u w:val="none"/>
                <w:lang w:val="en-US" w:eastAsia="zh-CN" w:bidi="ar"/>
              </w:rPr>
              <w:t>（1）个人表彰、团体表彰负责人按全分加，团体表彰其他成员减半计算。（2）荣誉表彰不包含开展各类活动获得的表彰奖项而是荣誉称号（如优干、三好、优秀党员、优秀班集体等）；参加各类活动评定的优秀志愿者或者优秀工作人员最高按校级认定，另有规定的除外；校级表彰为以贵州大学党委或行政名义进行的表彰；不同项可累加，同项以最高级别计。</w:t>
            </w:r>
          </w:p>
        </w:tc>
      </w:tr>
      <w:tr w14:paraId="32AB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C4C5">
            <w:pPr>
              <w:jc w:val="center"/>
              <w:rPr>
                <w:rFonts w:hint="eastAsia" w:ascii="宋体" w:hAnsi="宋体" w:eastAsia="宋体" w:cs="宋体"/>
                <w:b/>
                <w:bCs/>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46CE">
            <w:pPr>
              <w:jc w:val="center"/>
              <w:rPr>
                <w:rFonts w:hint="eastAsia" w:ascii="宋体" w:hAnsi="宋体" w:eastAsia="宋体" w:cs="宋体"/>
                <w:b/>
                <w:bCs/>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6922">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A12学生干部任职</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8452">
            <w:pPr>
              <w:keepNext w:val="0"/>
              <w:keepLines w:val="0"/>
              <w:widowControl/>
              <w:numPr>
                <w:ilvl w:val="-1"/>
                <w:numId w:val="0"/>
              </w:numPr>
              <w:suppressLineNumbers w:val="0"/>
              <w:spacing w:after="0" w:afterAutospacing="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1、加分标准</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校级干部</w:t>
            </w:r>
            <w:r>
              <w:rPr>
                <w:rFonts w:hint="eastAsia" w:ascii="宋体" w:hAnsi="宋体" w:eastAsia="宋体" w:cs="宋体"/>
                <w:i w:val="0"/>
                <w:iCs w:val="0"/>
                <w:color w:val="auto"/>
                <w:kern w:val="0"/>
                <w:sz w:val="22"/>
                <w:szCs w:val="22"/>
                <w:highlight w:val="none"/>
                <w:u w:val="none"/>
                <w:lang w:val="en-US" w:eastAsia="zh-CN" w:bidi="ar"/>
              </w:rPr>
              <w:t>（优秀12分、良好8分、合格4分）；</w:t>
            </w:r>
            <w:r>
              <w:rPr>
                <w:rFonts w:hint="eastAsia" w:ascii="宋体" w:hAnsi="宋体" w:eastAsia="宋体" w:cs="宋体"/>
                <w:b w:val="0"/>
                <w:bCs w:val="0"/>
                <w:i w:val="0"/>
                <w:iCs w:val="0"/>
                <w:color w:val="auto"/>
                <w:kern w:val="0"/>
                <w:sz w:val="22"/>
                <w:szCs w:val="22"/>
                <w:highlight w:val="none"/>
                <w:u w:val="none"/>
                <w:lang w:val="en-US" w:eastAsia="zh-CN" w:bidi="ar"/>
              </w:rPr>
              <w:t>院级干部</w:t>
            </w:r>
            <w:r>
              <w:rPr>
                <w:rFonts w:hint="eastAsia" w:ascii="宋体" w:hAnsi="宋体" w:eastAsia="宋体" w:cs="宋体"/>
                <w:i w:val="0"/>
                <w:iCs w:val="0"/>
                <w:color w:val="auto"/>
                <w:kern w:val="0"/>
                <w:sz w:val="22"/>
                <w:szCs w:val="22"/>
                <w:highlight w:val="none"/>
                <w:u w:val="none"/>
                <w:lang w:val="en-US" w:eastAsia="zh-CN" w:bidi="ar"/>
              </w:rPr>
              <w:t>（优秀10分、良好6人、合格3分）；</w:t>
            </w:r>
            <w:r>
              <w:rPr>
                <w:rFonts w:hint="eastAsia" w:ascii="宋体" w:hAnsi="宋体" w:eastAsia="宋体" w:cs="宋体"/>
                <w:b w:val="0"/>
                <w:bCs w:val="0"/>
                <w:i w:val="0"/>
                <w:iCs w:val="0"/>
                <w:color w:val="auto"/>
                <w:kern w:val="0"/>
                <w:sz w:val="22"/>
                <w:szCs w:val="22"/>
                <w:highlight w:val="none"/>
                <w:u w:val="none"/>
                <w:lang w:val="en-US" w:eastAsia="zh-CN" w:bidi="ar"/>
              </w:rPr>
              <w:t>班级干部</w:t>
            </w:r>
            <w:r>
              <w:rPr>
                <w:rFonts w:hint="eastAsia" w:ascii="宋体" w:hAnsi="宋体" w:eastAsia="宋体" w:cs="宋体"/>
                <w:i w:val="0"/>
                <w:iCs w:val="0"/>
                <w:color w:val="auto"/>
                <w:kern w:val="0"/>
                <w:sz w:val="22"/>
                <w:szCs w:val="22"/>
                <w:highlight w:val="none"/>
                <w:u w:val="none"/>
                <w:lang w:val="en-US" w:eastAsia="zh-CN" w:bidi="ar"/>
              </w:rPr>
              <w:t>（优秀8分、良好4分、合格2分）；</w:t>
            </w:r>
          </w:p>
          <w:p w14:paraId="03C56C67">
            <w:pPr>
              <w:keepNext w:val="0"/>
              <w:keepLines w:val="0"/>
              <w:widowControl/>
              <w:numPr>
                <w:ilvl w:val="-1"/>
                <w:numId w:val="0"/>
              </w:numPr>
              <w:suppressLineNumbers w:val="0"/>
              <w:spacing w:after="0" w:afterAutospacing="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2、加分说明：</w:t>
            </w:r>
            <w:r>
              <w:rPr>
                <w:rFonts w:hint="eastAsia" w:ascii="宋体" w:hAnsi="宋体" w:eastAsia="宋体" w:cs="宋体"/>
                <w:b w:val="0"/>
                <w:bCs w:val="0"/>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以最高级别加分，不重复认定，优秀比例不超过30%。</w:t>
            </w:r>
            <w:r>
              <w:rPr>
                <w:rFonts w:hint="eastAsia" w:ascii="宋体" w:hAnsi="宋体" w:eastAsia="宋体" w:cs="宋体"/>
                <w:b w:val="0"/>
                <w:bCs w:val="0"/>
                <w:i w:val="0"/>
                <w:iCs w:val="0"/>
                <w:color w:val="auto"/>
                <w:kern w:val="0"/>
                <w:sz w:val="22"/>
                <w:szCs w:val="22"/>
                <w:highlight w:val="none"/>
                <w:u w:val="none"/>
                <w:lang w:val="en-US" w:eastAsia="zh-CN" w:bidi="ar"/>
              </w:rPr>
              <w:t>（2）</w:t>
            </w:r>
            <w:r>
              <w:rPr>
                <w:rFonts w:hint="eastAsia" w:ascii="宋体" w:hAnsi="宋体" w:eastAsia="宋体" w:cs="宋体"/>
                <w:b/>
                <w:bCs/>
                <w:color w:val="auto"/>
                <w:kern w:val="0"/>
                <w:sz w:val="22"/>
                <w:szCs w:val="22"/>
                <w:highlight w:val="none"/>
                <w:u w:val="none"/>
                <w:lang w:bidi="ar"/>
              </w:rPr>
              <w:t>院级学生干部认定范围：</w:t>
            </w:r>
            <w:r>
              <w:rPr>
                <w:rFonts w:hint="eastAsia" w:ascii="宋体" w:hAnsi="宋体" w:eastAsia="宋体" w:cs="宋体"/>
                <w:color w:val="auto"/>
                <w:kern w:val="0"/>
                <w:sz w:val="22"/>
                <w:szCs w:val="22"/>
                <w:highlight w:val="none"/>
                <w:u w:val="none"/>
                <w:lang w:bidi="ar"/>
              </w:rPr>
              <w:t>任职期满一年以上的院研究生会主席团、部长及副部长；团总支书记及副书记；学院党总支副书记、学院各党支部书记及副书记；年级班长及副班长。</w:t>
            </w:r>
            <w:r>
              <w:rPr>
                <w:rFonts w:hint="eastAsia" w:ascii="宋体" w:hAnsi="宋体" w:eastAsia="宋体" w:cs="宋体"/>
                <w:b/>
                <w:bCs/>
                <w:color w:val="auto"/>
                <w:kern w:val="0"/>
                <w:sz w:val="22"/>
                <w:szCs w:val="22"/>
                <w:highlight w:val="none"/>
                <w:u w:val="none"/>
                <w:lang w:eastAsia="zh-CN" w:bidi="ar"/>
              </w:rPr>
              <w:t>（</w:t>
            </w:r>
            <w:r>
              <w:rPr>
                <w:rFonts w:hint="eastAsia" w:ascii="宋体" w:hAnsi="宋体" w:eastAsia="宋体" w:cs="宋体"/>
                <w:b/>
                <w:bCs/>
                <w:color w:val="auto"/>
                <w:kern w:val="0"/>
                <w:sz w:val="22"/>
                <w:szCs w:val="22"/>
                <w:highlight w:val="none"/>
                <w:u w:val="none"/>
                <w:lang w:val="en-US" w:eastAsia="zh-CN" w:bidi="ar"/>
              </w:rPr>
              <w:t>3</w:t>
            </w:r>
            <w:r>
              <w:rPr>
                <w:rFonts w:hint="eastAsia" w:ascii="宋体" w:hAnsi="宋体" w:eastAsia="宋体" w:cs="宋体"/>
                <w:b/>
                <w:bCs/>
                <w:color w:val="auto"/>
                <w:kern w:val="0"/>
                <w:sz w:val="22"/>
                <w:szCs w:val="22"/>
                <w:highlight w:val="none"/>
                <w:u w:val="none"/>
                <w:lang w:eastAsia="zh-CN" w:bidi="ar"/>
              </w:rPr>
              <w:t>）</w:t>
            </w:r>
            <w:r>
              <w:rPr>
                <w:rFonts w:hint="eastAsia" w:ascii="宋体" w:hAnsi="宋体" w:eastAsia="宋体" w:cs="宋体"/>
                <w:b/>
                <w:bCs/>
                <w:color w:val="auto"/>
                <w:kern w:val="0"/>
                <w:sz w:val="22"/>
                <w:szCs w:val="22"/>
                <w:highlight w:val="none"/>
                <w:u w:val="none"/>
                <w:lang w:bidi="ar"/>
              </w:rPr>
              <w:t>班级干部认定范围：</w:t>
            </w:r>
            <w:r>
              <w:rPr>
                <w:rFonts w:hint="eastAsia" w:ascii="宋体" w:hAnsi="宋体" w:eastAsia="宋体" w:cs="宋体"/>
                <w:color w:val="auto"/>
                <w:kern w:val="0"/>
                <w:sz w:val="22"/>
                <w:szCs w:val="22"/>
                <w:highlight w:val="none"/>
                <w:u w:val="none"/>
                <w:lang w:bidi="ar"/>
              </w:rPr>
              <w:t>任职期满一年以上研会干事、党支部支委、团支部书记及干事、班级班长、班级学习委员</w:t>
            </w:r>
            <w:r>
              <w:rPr>
                <w:rFonts w:hint="eastAsia" w:ascii="宋体" w:hAnsi="宋体" w:eastAsia="宋体" w:cs="宋体"/>
                <w:color w:val="auto"/>
                <w:kern w:val="0"/>
                <w:sz w:val="22"/>
                <w:szCs w:val="22"/>
                <w:highlight w:val="none"/>
                <w:u w:val="none"/>
                <w:lang w:eastAsia="zh-CN" w:bidi="ar"/>
              </w:rPr>
              <w:t>、班级劳动委员</w:t>
            </w:r>
            <w:r>
              <w:rPr>
                <w:rFonts w:hint="eastAsia" w:ascii="宋体" w:hAnsi="宋体" w:eastAsia="宋体" w:cs="宋体"/>
                <w:color w:val="auto"/>
                <w:kern w:val="0"/>
                <w:sz w:val="22"/>
                <w:szCs w:val="22"/>
                <w:highlight w:val="none"/>
                <w:u w:val="none"/>
                <w:lang w:bidi="ar"/>
              </w:rPr>
              <w:t>。</w:t>
            </w:r>
            <w:r>
              <w:rPr>
                <w:rFonts w:hint="eastAsia" w:ascii="宋体" w:hAnsi="宋体" w:eastAsia="宋体" w:cs="宋体"/>
                <w:b/>
                <w:bCs/>
                <w:color w:val="auto"/>
                <w:kern w:val="0"/>
                <w:sz w:val="22"/>
                <w:szCs w:val="22"/>
                <w:highlight w:val="none"/>
                <w:u w:val="none"/>
                <w:lang w:eastAsia="zh-CN" w:bidi="ar"/>
              </w:rPr>
              <w:t>（</w:t>
            </w:r>
            <w:r>
              <w:rPr>
                <w:rFonts w:hint="eastAsia" w:ascii="宋体" w:hAnsi="宋体" w:eastAsia="宋体" w:cs="宋体"/>
                <w:b/>
                <w:bCs/>
                <w:color w:val="auto"/>
                <w:kern w:val="0"/>
                <w:sz w:val="22"/>
                <w:szCs w:val="22"/>
                <w:highlight w:val="none"/>
                <w:u w:val="none"/>
                <w:lang w:val="en-US" w:eastAsia="zh-CN" w:bidi="ar"/>
              </w:rPr>
              <w:t>4</w:t>
            </w:r>
            <w:r>
              <w:rPr>
                <w:rFonts w:hint="eastAsia" w:ascii="宋体" w:hAnsi="宋体" w:eastAsia="宋体" w:cs="宋体"/>
                <w:b/>
                <w:bCs/>
                <w:color w:val="auto"/>
                <w:kern w:val="0"/>
                <w:sz w:val="22"/>
                <w:szCs w:val="22"/>
                <w:highlight w:val="none"/>
                <w:u w:val="none"/>
                <w:lang w:eastAsia="zh-CN" w:bidi="ar"/>
              </w:rPr>
              <w:t>）</w:t>
            </w:r>
            <w:r>
              <w:rPr>
                <w:rFonts w:hint="eastAsia" w:ascii="宋体" w:hAnsi="宋体" w:eastAsia="宋体" w:cs="宋体"/>
                <w:b/>
                <w:bCs/>
                <w:color w:val="auto"/>
                <w:kern w:val="0"/>
                <w:sz w:val="22"/>
                <w:szCs w:val="22"/>
                <w:highlight w:val="none"/>
                <w:u w:val="none"/>
                <w:lang w:bidi="ar"/>
              </w:rPr>
              <w:t>校级组织的副部长及以上职务的学生干部、宿舍楼层党支部书记及以上职务的党员干部按校级干部评定；校级组织干事、宿舍楼层党支部委员按院级干部认定。</w:t>
            </w:r>
          </w:p>
        </w:tc>
      </w:tr>
      <w:tr w14:paraId="5D40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A8B6">
            <w:pPr>
              <w:jc w:val="center"/>
              <w:rPr>
                <w:rFonts w:hint="eastAsia" w:ascii="宋体" w:hAnsi="宋体" w:eastAsia="宋体" w:cs="宋体"/>
                <w:b/>
                <w:bCs/>
                <w:i w:val="0"/>
                <w:iCs w:val="0"/>
                <w:color w:val="auto"/>
                <w:sz w:val="22"/>
                <w:szCs w:val="22"/>
                <w:highlight w:val="none"/>
                <w:u w:val="none"/>
              </w:rPr>
            </w:pPr>
          </w:p>
        </w:tc>
        <w:tc>
          <w:tcPr>
            <w:tcW w:w="1377" w:type="dxa"/>
            <w:vMerge w:val="restart"/>
            <w:tcBorders>
              <w:top w:val="single" w:color="000000" w:sz="4" w:space="0"/>
              <w:left w:val="single" w:color="000000" w:sz="4" w:space="0"/>
              <w:right w:val="single" w:color="000000" w:sz="4" w:space="0"/>
            </w:tcBorders>
            <w:shd w:val="clear" w:color="auto" w:fill="auto"/>
            <w:noWrap/>
            <w:vAlign w:val="center"/>
          </w:tcPr>
          <w:p w14:paraId="2FEBAF8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A2日常表现</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D468">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A21组织活动</w:t>
            </w:r>
          </w:p>
        </w:tc>
        <w:tc>
          <w:tcPr>
            <w:tcW w:w="9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DF4F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1、加分标准：</w:t>
            </w:r>
            <w:r>
              <w:rPr>
                <w:rFonts w:hint="eastAsia" w:ascii="宋体" w:hAnsi="宋体" w:eastAsia="宋体" w:cs="宋体"/>
                <w:i w:val="0"/>
                <w:iCs w:val="0"/>
                <w:color w:val="auto"/>
                <w:kern w:val="0"/>
                <w:sz w:val="22"/>
                <w:szCs w:val="22"/>
                <w:highlight w:val="none"/>
                <w:u w:val="none"/>
                <w:lang w:val="en-US" w:eastAsia="zh-CN" w:bidi="ar"/>
              </w:rPr>
              <w:t>国际15分、国家级12分、省部级10分、市厅级8分、校级6分、院级4分。</w:t>
            </w:r>
          </w:p>
          <w:p w14:paraId="181AD671">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2、加分说明：</w:t>
            </w:r>
            <w:r>
              <w:rPr>
                <w:rFonts w:hint="eastAsia" w:ascii="宋体" w:hAnsi="宋体" w:eastAsia="宋体" w:cs="宋体"/>
                <w:b w:val="0"/>
                <w:bCs w:val="0"/>
                <w:i w:val="0"/>
                <w:iCs w:val="0"/>
                <w:color w:val="auto"/>
                <w:kern w:val="0"/>
                <w:sz w:val="22"/>
                <w:szCs w:val="22"/>
                <w:highlight w:val="none"/>
                <w:u w:val="none"/>
                <w:lang w:val="en-US" w:eastAsia="zh-CN" w:bidi="ar"/>
              </w:rPr>
              <w:t>（1）活动组织者加全分，活动主要负责人按80%折算加分，参与者按50%折算加分。（2）“党建进宿舍”“党建进实验室”举办的楼栋活动按院级核算。各党支部的三会一课不算加分。</w:t>
            </w:r>
          </w:p>
        </w:tc>
      </w:tr>
      <w:tr w14:paraId="6D69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B944">
            <w:pPr>
              <w:jc w:val="center"/>
              <w:rPr>
                <w:rFonts w:hint="eastAsia" w:ascii="宋体" w:hAnsi="宋体" w:eastAsia="宋体" w:cs="宋体"/>
                <w:b/>
                <w:bCs/>
                <w:i w:val="0"/>
                <w:iCs w:val="0"/>
                <w:color w:val="auto"/>
                <w:sz w:val="22"/>
                <w:szCs w:val="22"/>
                <w:highlight w:val="none"/>
                <w:u w:val="none"/>
              </w:rPr>
            </w:pPr>
          </w:p>
        </w:tc>
        <w:tc>
          <w:tcPr>
            <w:tcW w:w="1377" w:type="dxa"/>
            <w:vMerge w:val="continue"/>
            <w:tcBorders>
              <w:left w:val="single" w:color="000000" w:sz="4" w:space="0"/>
              <w:right w:val="single" w:color="000000" w:sz="4" w:space="0"/>
            </w:tcBorders>
            <w:shd w:val="clear" w:color="auto" w:fill="auto"/>
            <w:noWrap/>
            <w:vAlign w:val="center"/>
          </w:tcPr>
          <w:p w14:paraId="0D157167">
            <w:pPr>
              <w:jc w:val="center"/>
              <w:rPr>
                <w:rFonts w:hint="eastAsia" w:ascii="宋体" w:hAnsi="宋体" w:eastAsia="宋体" w:cs="宋体"/>
                <w:b/>
                <w:bCs/>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82FC">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A22参与活动</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F425B">
            <w:pPr>
              <w:jc w:val="left"/>
              <w:rPr>
                <w:rFonts w:hint="eastAsia" w:ascii="宋体" w:hAnsi="宋体" w:eastAsia="宋体" w:cs="宋体"/>
                <w:b/>
                <w:bCs/>
                <w:i w:val="0"/>
                <w:iCs w:val="0"/>
                <w:color w:val="auto"/>
                <w:sz w:val="22"/>
                <w:szCs w:val="22"/>
                <w:highlight w:val="none"/>
                <w:u w:val="none"/>
              </w:rPr>
            </w:pPr>
          </w:p>
        </w:tc>
      </w:tr>
      <w:tr w14:paraId="0C41F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7B44">
            <w:pPr>
              <w:jc w:val="center"/>
              <w:rPr>
                <w:rFonts w:hint="eastAsia" w:ascii="宋体" w:hAnsi="宋体" w:eastAsia="宋体" w:cs="宋体"/>
                <w:b/>
                <w:bCs/>
                <w:i w:val="0"/>
                <w:iCs w:val="0"/>
                <w:color w:val="auto"/>
                <w:sz w:val="22"/>
                <w:szCs w:val="22"/>
                <w:highlight w:val="none"/>
                <w:u w:val="none"/>
              </w:rPr>
            </w:pPr>
          </w:p>
        </w:tc>
        <w:tc>
          <w:tcPr>
            <w:tcW w:w="1377" w:type="dxa"/>
            <w:vMerge w:val="continue"/>
            <w:tcBorders>
              <w:left w:val="single" w:color="000000" w:sz="4" w:space="0"/>
              <w:bottom w:val="single" w:color="000000" w:sz="4" w:space="0"/>
              <w:right w:val="single" w:color="000000" w:sz="4" w:space="0"/>
            </w:tcBorders>
            <w:shd w:val="clear" w:color="auto" w:fill="auto"/>
            <w:noWrap/>
            <w:vAlign w:val="center"/>
          </w:tcPr>
          <w:p w14:paraId="12D1966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1E51">
            <w:pPr>
              <w:keepNext w:val="0"/>
              <w:keepLines w:val="0"/>
              <w:widowControl/>
              <w:suppressLineNumbers w:val="0"/>
              <w:jc w:val="left"/>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A23活动获奖</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3F96">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加分标准：</w:t>
            </w:r>
            <w:r>
              <w:rPr>
                <w:rFonts w:hint="eastAsia" w:ascii="宋体" w:hAnsi="宋体" w:eastAsia="宋体" w:cs="宋体"/>
                <w:i w:val="0"/>
                <w:iCs w:val="0"/>
                <w:color w:val="auto"/>
                <w:kern w:val="0"/>
                <w:sz w:val="22"/>
                <w:szCs w:val="22"/>
                <w:highlight w:val="none"/>
                <w:u w:val="none"/>
                <w:lang w:val="en-US" w:eastAsia="zh-CN" w:bidi="ar"/>
              </w:rPr>
              <w:t>国际级（一等20分、二等19分、三等18分、优秀17分）；国家级（一等17分、二等16分、三等15分、优秀14分）；省部级（一等14分、二等13分、三等12分、优秀11分）；市厅级（一等11分、二等10分、三等9分、优秀8分）；校级（一等8分、二等7分、三等6分、优秀5分）；院级（一等5分、二等4分、三等3分、优秀2分）。</w:t>
            </w:r>
          </w:p>
          <w:p w14:paraId="26F263A3">
            <w:pPr>
              <w:keepNext w:val="0"/>
              <w:keepLines w:val="0"/>
              <w:widowControl/>
              <w:numPr>
                <w:ilvl w:val="0"/>
                <w:numId w:val="2"/>
              </w:numPr>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加分说明：</w:t>
            </w:r>
            <w:r>
              <w:rPr>
                <w:rFonts w:hint="eastAsia" w:ascii="宋体" w:hAnsi="宋体" w:eastAsia="宋体" w:cs="宋体"/>
                <w:i w:val="0"/>
                <w:iCs w:val="0"/>
                <w:color w:val="auto"/>
                <w:kern w:val="0"/>
                <w:sz w:val="22"/>
                <w:szCs w:val="22"/>
                <w:highlight w:val="none"/>
                <w:u w:val="none"/>
                <w:lang w:val="en-US" w:eastAsia="zh-CN" w:bidi="ar"/>
              </w:rPr>
              <w:t>（1）贵州大学党委、贵州大学、各校级行政职能部门颁发的奖项按校级奖项加分；学校其他各团学组织的奖项按院级奖项加分；（3）院级各团学组织的奖项按院级奖项加分。（4）团体活动获奖负责人或队长加全分，其余成员分值减半计算，若无队长则全体成员均减半计算。</w:t>
            </w:r>
          </w:p>
        </w:tc>
      </w:tr>
      <w:tr w14:paraId="6773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EE4E">
            <w:pPr>
              <w:jc w:val="center"/>
              <w:rPr>
                <w:rFonts w:hint="eastAsia" w:ascii="宋体" w:hAnsi="宋体" w:eastAsia="宋体" w:cs="宋体"/>
                <w:b/>
                <w:bCs/>
                <w:i w:val="0"/>
                <w:iCs w:val="0"/>
                <w:color w:val="auto"/>
                <w:sz w:val="22"/>
                <w:szCs w:val="22"/>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2ED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A3扣分项</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045C">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A31扣分项目</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5C9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1.在学校或学院组织的活动中，不配合、不听从安排、不遵守纪律的一次扣2分，造成不良影响的一次扣5分。</w:t>
            </w:r>
          </w:p>
          <w:p w14:paraId="31E60C6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2.在突发、偶发和公共事件处理过程中，不听从组织安排，造成不良影响的一次扣5分。</w:t>
            </w:r>
          </w:p>
          <w:p w14:paraId="7345F208">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3.通过网络、微博、微信等渠道发布不实信息，给学校声誉造成不良影响的一次扣15分。</w:t>
            </w:r>
          </w:p>
          <w:p w14:paraId="5633F60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4.评奖年度内受通报批评的一次扣5分。</w:t>
            </w:r>
          </w:p>
          <w:p w14:paraId="4C407B5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5.其他各培养单位经公示无异议，报党委研究生工作部（研究生管理处）备案的扣分项目。</w:t>
            </w:r>
          </w:p>
          <w:p w14:paraId="2059D0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以上各项扣分项可累计扣分。</w:t>
            </w:r>
          </w:p>
        </w:tc>
      </w:tr>
      <w:tr w14:paraId="112E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3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B智育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C6B0">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B1课程成绩</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4B62">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B11课程学习成绩合格</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79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课程综合成绩由研究生培养方案中学位课和非学位课程成绩组成，成绩按权重公式折算百分制。</w:t>
            </w:r>
          </w:p>
        </w:tc>
      </w:tr>
      <w:tr w14:paraId="2464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AAA1">
            <w:pPr>
              <w:jc w:val="center"/>
              <w:rPr>
                <w:rFonts w:hint="eastAsia" w:ascii="宋体" w:hAnsi="宋体" w:eastAsia="宋体" w:cs="宋体"/>
                <w:i w:val="0"/>
                <w:iCs w:val="0"/>
                <w:color w:val="auto"/>
                <w:sz w:val="22"/>
                <w:szCs w:val="22"/>
                <w:highlight w:val="none"/>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B9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B2学术论文</w:t>
            </w:r>
          </w:p>
        </w:tc>
        <w:tc>
          <w:tcPr>
            <w:tcW w:w="2461" w:type="dxa"/>
            <w:tcBorders>
              <w:top w:val="single" w:color="000000" w:sz="4" w:space="0"/>
              <w:left w:val="nil"/>
              <w:bottom w:val="single" w:color="000000" w:sz="4" w:space="0"/>
              <w:right w:val="single" w:color="000000" w:sz="4" w:space="0"/>
            </w:tcBorders>
            <w:shd w:val="clear" w:color="auto" w:fill="auto"/>
            <w:vAlign w:val="center"/>
          </w:tcPr>
          <w:p w14:paraId="691447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B21一档</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25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6000分：《中国社会科学》《求是》《经济研究》《历史研究》《管理世界》《中国法学》《哲学研究》等人文社科顶级期刊、获国家级领导肯定性批示的政策咨询报告、内参等（排名前5）</w:t>
            </w:r>
          </w:p>
        </w:tc>
      </w:tr>
      <w:tr w14:paraId="223F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B4E1">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BB05">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nil"/>
              <w:bottom w:val="single" w:color="000000" w:sz="4" w:space="0"/>
              <w:right w:val="single" w:color="000000" w:sz="4" w:space="0"/>
            </w:tcBorders>
            <w:shd w:val="clear" w:color="auto" w:fill="auto"/>
            <w:vAlign w:val="center"/>
          </w:tcPr>
          <w:p w14:paraId="7CF9C5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B22二档</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14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1800分：人文社科一级学报、SCI一区且IF≥10期刊</w:t>
            </w:r>
          </w:p>
        </w:tc>
      </w:tr>
      <w:tr w14:paraId="2681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ADFF">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D9EE">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nil"/>
              <w:bottom w:val="single" w:color="000000" w:sz="4" w:space="0"/>
              <w:right w:val="single" w:color="000000" w:sz="4" w:space="0"/>
            </w:tcBorders>
            <w:shd w:val="clear" w:color="auto" w:fill="auto"/>
            <w:vAlign w:val="center"/>
          </w:tcPr>
          <w:p w14:paraId="13FD19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B23三档</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0D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600分：SSCI Q1及Q2区、A&amp;HCI期刊、CSSCI来源期刊、《人民日报》《光明日报》《经济日报》理论文章（1500字以上）、SCI一区</w:t>
            </w:r>
          </w:p>
        </w:tc>
      </w:tr>
      <w:tr w14:paraId="712E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F428">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C392">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nil"/>
              <w:bottom w:val="single" w:color="000000" w:sz="4" w:space="0"/>
              <w:right w:val="single" w:color="000000" w:sz="4" w:space="0"/>
            </w:tcBorders>
            <w:shd w:val="clear" w:color="auto" w:fill="auto"/>
            <w:vAlign w:val="center"/>
          </w:tcPr>
          <w:p w14:paraId="4B8977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B24四档</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A5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360分：SSCI Q3及Q4区、CSSCI收录期刊、《人民日报》《光明日报》《经济日报》理论文章（1500字以下）、获省部级主要领导肯定性批示的政策咨询报告、内参等（排名前5）、SCI二区</w:t>
            </w:r>
          </w:p>
        </w:tc>
      </w:tr>
      <w:tr w14:paraId="7B6C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490F">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E554">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nil"/>
              <w:bottom w:val="single" w:color="000000" w:sz="4" w:space="0"/>
              <w:right w:val="single" w:color="000000" w:sz="4" w:space="0"/>
            </w:tcBorders>
            <w:shd w:val="clear" w:color="auto" w:fill="auto"/>
            <w:vAlign w:val="center"/>
          </w:tcPr>
          <w:p w14:paraId="1A2BE5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B25五档</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E3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120分：CSSCI扩展版来源期刊、SCI三区</w:t>
            </w:r>
          </w:p>
        </w:tc>
      </w:tr>
      <w:tr w14:paraId="7BA4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5F32">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5E3">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nil"/>
              <w:bottom w:val="single" w:color="000000" w:sz="4" w:space="0"/>
              <w:right w:val="single" w:color="000000" w:sz="4" w:space="0"/>
            </w:tcBorders>
            <w:shd w:val="clear" w:color="auto" w:fill="auto"/>
            <w:vAlign w:val="center"/>
          </w:tcPr>
          <w:p w14:paraId="1EB2D5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B26六档</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A5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分：北大中文核心期刊、《贵州大学学报（社会科学版》（每人每年最多计1篇）、著作（独著与本专业相关的由正规出版社出版的研究型专著3万字以上）、获省部级其他领导肯定性批示的政策咨询报告（排名前5）、SCI四区</w:t>
            </w:r>
          </w:p>
        </w:tc>
      </w:tr>
      <w:tr w14:paraId="7F6C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790A">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CAFB">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nil"/>
              <w:bottom w:val="single" w:color="000000" w:sz="4" w:space="0"/>
              <w:right w:val="single" w:color="000000" w:sz="4" w:space="0"/>
            </w:tcBorders>
            <w:shd w:val="clear" w:color="auto" w:fill="auto"/>
            <w:vAlign w:val="center"/>
          </w:tcPr>
          <w:p w14:paraId="2E3AC4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B27七档</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3475">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40分：学报类学术期刊（3000字以上）</w:t>
            </w:r>
          </w:p>
        </w:tc>
      </w:tr>
      <w:tr w14:paraId="4782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70A0">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2E39">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nil"/>
              <w:bottom w:val="single" w:color="000000" w:sz="4" w:space="0"/>
              <w:right w:val="single" w:color="000000" w:sz="4" w:space="0"/>
            </w:tcBorders>
            <w:shd w:val="clear" w:color="auto" w:fill="auto"/>
            <w:vAlign w:val="center"/>
          </w:tcPr>
          <w:p w14:paraId="44738B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B28八档</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74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30分：SCD收录期刊（每人每年最多计2篇）、《贵州日报》理论版文章、参编与本专业相关的由正规出版社出版的研究型专著或教材</w:t>
            </w:r>
          </w:p>
        </w:tc>
      </w:tr>
      <w:tr w14:paraId="3B92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21BC">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85A5">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nil"/>
              <w:bottom w:val="single" w:color="000000" w:sz="4" w:space="0"/>
              <w:right w:val="single" w:color="000000" w:sz="4" w:space="0"/>
            </w:tcBorders>
            <w:shd w:val="clear" w:color="auto" w:fill="auto"/>
            <w:vAlign w:val="center"/>
          </w:tcPr>
          <w:p w14:paraId="354469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B29九档</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1C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20分：其他省级以上一般学术类期刊（3000字以上）或正式出版省级以上学会论文集论文（4000字以上）、贵州大学《硕博论坛》专刊、贵州大学高校青年思想论坛优秀论文集等贵州大学校级学生活动论文刊物</w:t>
            </w:r>
          </w:p>
        </w:tc>
      </w:tr>
      <w:tr w14:paraId="4BE3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F67E">
            <w:pPr>
              <w:jc w:val="center"/>
              <w:rPr>
                <w:rFonts w:hint="eastAsia" w:ascii="宋体" w:hAnsi="宋体" w:eastAsia="宋体" w:cs="宋体"/>
                <w:i w:val="0"/>
                <w:iCs w:val="0"/>
                <w:color w:val="auto"/>
                <w:sz w:val="22"/>
                <w:szCs w:val="22"/>
                <w:highlight w:val="none"/>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2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B3学科竞赛</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07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B31特等奖（金奖）</w:t>
            </w:r>
          </w:p>
        </w:tc>
        <w:tc>
          <w:tcPr>
            <w:tcW w:w="9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52A5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学科竞赛指当年列入高等教育学会“全国普通高校大学生竞赛分析报告竞赛目录”的赛事（不包含高职赛）及中国研究生创新实践系列大赛等相关竞赛。</w:t>
            </w:r>
          </w:p>
          <w:p w14:paraId="5C8ABC6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赛事等级：</w:t>
            </w:r>
            <w:r>
              <w:rPr>
                <w:rFonts w:hint="eastAsia" w:ascii="宋体" w:hAnsi="宋体" w:eastAsia="宋体" w:cs="宋体"/>
                <w:i w:val="0"/>
                <w:iCs w:val="0"/>
                <w:color w:val="auto"/>
                <w:kern w:val="0"/>
                <w:sz w:val="22"/>
                <w:szCs w:val="22"/>
                <w:highlight w:val="none"/>
                <w:u w:val="none"/>
                <w:lang w:val="en-US" w:eastAsia="zh-CN" w:bidi="ar"/>
              </w:rPr>
              <w:t>中国国际大学生创新大赛（原中国国际“互联网+”大学生创新创业大赛）、“挑战杯”全国大学生课外学术科技作品竞赛项目（200分）</w:t>
            </w:r>
          </w:p>
          <w:p w14:paraId="5C05054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中国研究生创新系列大赛项目（150分）</w:t>
            </w:r>
          </w:p>
          <w:p w14:paraId="5C32E5F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当年列入高等教育学会“全国普通高校大学生竞赛分析报告竞赛目录”中研究生专项赛事（120分）</w:t>
            </w:r>
          </w:p>
          <w:p w14:paraId="29F131C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当年列入高等教育学会“全国普通高校大学生竞赛分析报告竞赛目录”中其他赛事（100分）</w:t>
            </w:r>
          </w:p>
          <w:p w14:paraId="680B3FB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教育部、教育厅等教育主管行政部门指定的学科竞赛，国家级机关部门、学科专业教学指导委员会承办或参与的学科竞赛（80分）</w:t>
            </w:r>
          </w:p>
          <w:p w14:paraId="59145AD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以上国家级比赛的省级选拔赛、省级或省级以上行业协会（40分）</w:t>
            </w:r>
          </w:p>
          <w:p w14:paraId="66AD8F4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以上国家级比赛的校级选拔赛、学术团体组织的学科竞赛学校组织的各类学科竞赛。（20分）</w:t>
            </w:r>
          </w:p>
          <w:p w14:paraId="31125BB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获奖等级：</w:t>
            </w:r>
            <w:r>
              <w:rPr>
                <w:rFonts w:hint="eastAsia" w:ascii="宋体" w:hAnsi="宋体" w:eastAsia="宋体" w:cs="宋体"/>
                <w:i w:val="0"/>
                <w:iCs w:val="0"/>
                <w:color w:val="auto"/>
                <w:kern w:val="0"/>
                <w:sz w:val="22"/>
                <w:szCs w:val="22"/>
                <w:highlight w:val="none"/>
                <w:u w:val="none"/>
                <w:lang w:val="en-US" w:eastAsia="zh-CN" w:bidi="ar"/>
              </w:rPr>
              <w:t>特等奖（金奖）100%、一等奖（银奖）80%、二等奖（铜奖）65%、三等奖50%。（未设置特等奖的竞赛项目，一等奖（金奖）参照特等奖加分，其它等级加分依次类推。）</w:t>
            </w:r>
          </w:p>
          <w:p w14:paraId="05BBE1F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排名等级：</w:t>
            </w:r>
            <w:r>
              <w:rPr>
                <w:rFonts w:hint="eastAsia" w:ascii="宋体" w:hAnsi="宋体" w:eastAsia="宋体" w:cs="宋体"/>
                <w:i w:val="0"/>
                <w:iCs w:val="0"/>
                <w:color w:val="auto"/>
                <w:kern w:val="0"/>
                <w:sz w:val="22"/>
                <w:szCs w:val="22"/>
                <w:highlight w:val="none"/>
                <w:u w:val="none"/>
                <w:lang w:val="en-US" w:eastAsia="zh-CN" w:bidi="ar"/>
              </w:rPr>
              <w:t>个人项目100%、团体项目排名第一100%、团队路演人90%、团体项目排名第二70%、团体项目排名第三50%、团体项目排名第4及以后20%。跨学院组队的项目：排名第一或第二/团队路演人100%，排名第三或第四70%，排名第五或第六50%，排名第七及以后20%。</w:t>
            </w:r>
          </w:p>
          <w:p w14:paraId="50AEF87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多个作品参加同一项竞赛的同一组别，可以累计计分，同一作品参加多项竞赛或同一竞赛的校级、省级选拔赛和国家级决赛，仅计 1项（以最高分计）。以团队形式参赛，排名第一的须为我校在籍研究生。</w:t>
            </w:r>
          </w:p>
          <w:p w14:paraId="6A7BA3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加分=赛事等级*获奖等级*排名等级</w:t>
            </w:r>
          </w:p>
        </w:tc>
      </w:tr>
      <w:tr w14:paraId="1C9C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B9E2">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F373">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96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B32一等奖（银奖）</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6CDD1">
            <w:pPr>
              <w:jc w:val="left"/>
              <w:rPr>
                <w:rFonts w:hint="eastAsia" w:ascii="宋体" w:hAnsi="宋体" w:eastAsia="宋体" w:cs="宋体"/>
                <w:i w:val="0"/>
                <w:iCs w:val="0"/>
                <w:color w:val="auto"/>
                <w:sz w:val="22"/>
                <w:szCs w:val="22"/>
                <w:highlight w:val="none"/>
                <w:u w:val="none"/>
              </w:rPr>
            </w:pPr>
          </w:p>
        </w:tc>
      </w:tr>
      <w:tr w14:paraId="234CA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EDFF">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5C7C">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BC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B33二等奖（铜奖）</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1B5C">
            <w:pPr>
              <w:jc w:val="left"/>
              <w:rPr>
                <w:rFonts w:hint="eastAsia" w:ascii="宋体" w:hAnsi="宋体" w:eastAsia="宋体" w:cs="宋体"/>
                <w:i w:val="0"/>
                <w:iCs w:val="0"/>
                <w:color w:val="auto"/>
                <w:sz w:val="22"/>
                <w:szCs w:val="22"/>
                <w:highlight w:val="none"/>
                <w:u w:val="none"/>
              </w:rPr>
            </w:pPr>
          </w:p>
        </w:tc>
      </w:tr>
      <w:tr w14:paraId="0F2C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FF70">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2109">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43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B34三等奖</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A6166">
            <w:pPr>
              <w:jc w:val="left"/>
              <w:rPr>
                <w:rFonts w:hint="eastAsia" w:ascii="宋体" w:hAnsi="宋体" w:eastAsia="宋体" w:cs="宋体"/>
                <w:i w:val="0"/>
                <w:iCs w:val="0"/>
                <w:color w:val="auto"/>
                <w:sz w:val="22"/>
                <w:szCs w:val="22"/>
                <w:highlight w:val="none"/>
                <w:u w:val="none"/>
              </w:rPr>
            </w:pPr>
          </w:p>
        </w:tc>
      </w:tr>
      <w:tr w14:paraId="6B06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7397">
            <w:pPr>
              <w:jc w:val="center"/>
              <w:rPr>
                <w:rFonts w:hint="eastAsia" w:ascii="宋体" w:hAnsi="宋体" w:eastAsia="宋体" w:cs="宋体"/>
                <w:i w:val="0"/>
                <w:iCs w:val="0"/>
                <w:color w:val="auto"/>
                <w:sz w:val="22"/>
                <w:szCs w:val="22"/>
                <w:highlight w:val="none"/>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1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B4国际交流</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A4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B41六个月（含）及以上</w:t>
            </w:r>
          </w:p>
        </w:tc>
        <w:tc>
          <w:tcPr>
            <w:tcW w:w="9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96AA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国际交流须在研究生院、研究生管理工作处、国际交流与合作处备案，交流时间以在评奖学年内实际出国（境）时间为准。在国际交流期间参加的国际会议，两者不累计，以最高分计。</w:t>
            </w:r>
          </w:p>
          <w:p w14:paraId="63B49E6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六个月（含）及以上：20分</w:t>
            </w:r>
          </w:p>
          <w:p w14:paraId="3343E74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三（含）至六个月：16分</w:t>
            </w:r>
          </w:p>
          <w:p w14:paraId="3405E60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一（含）至三个月：6分</w:t>
            </w:r>
          </w:p>
          <w:p w14:paraId="40A6F35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一周（含）至一个月：4分</w:t>
            </w:r>
          </w:p>
          <w:p w14:paraId="2BA12E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一周以内:2分</w:t>
            </w:r>
          </w:p>
        </w:tc>
      </w:tr>
      <w:tr w14:paraId="2168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E2B7">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B782">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C8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B42三（含）至六个月</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419A">
            <w:pPr>
              <w:jc w:val="left"/>
              <w:rPr>
                <w:rFonts w:hint="eastAsia" w:ascii="宋体" w:hAnsi="宋体" w:eastAsia="宋体" w:cs="宋体"/>
                <w:i w:val="0"/>
                <w:iCs w:val="0"/>
                <w:color w:val="auto"/>
                <w:sz w:val="22"/>
                <w:szCs w:val="22"/>
                <w:highlight w:val="none"/>
                <w:u w:val="none"/>
              </w:rPr>
            </w:pPr>
          </w:p>
        </w:tc>
      </w:tr>
      <w:tr w14:paraId="2A50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F726">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90C3">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6A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B43一（含）至三个月</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618EB">
            <w:pPr>
              <w:jc w:val="left"/>
              <w:rPr>
                <w:rFonts w:hint="eastAsia" w:ascii="宋体" w:hAnsi="宋体" w:eastAsia="宋体" w:cs="宋体"/>
                <w:i w:val="0"/>
                <w:iCs w:val="0"/>
                <w:color w:val="auto"/>
                <w:sz w:val="22"/>
                <w:szCs w:val="22"/>
                <w:highlight w:val="none"/>
                <w:u w:val="none"/>
              </w:rPr>
            </w:pPr>
          </w:p>
        </w:tc>
      </w:tr>
      <w:tr w14:paraId="60CF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60E7">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E010">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FE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B44一周（含）至一个月</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9C6C1">
            <w:pPr>
              <w:jc w:val="left"/>
              <w:rPr>
                <w:rFonts w:hint="eastAsia" w:ascii="宋体" w:hAnsi="宋体" w:eastAsia="宋体" w:cs="宋体"/>
                <w:i w:val="0"/>
                <w:iCs w:val="0"/>
                <w:color w:val="auto"/>
                <w:sz w:val="22"/>
                <w:szCs w:val="22"/>
                <w:highlight w:val="none"/>
                <w:u w:val="none"/>
              </w:rPr>
            </w:pPr>
          </w:p>
        </w:tc>
      </w:tr>
      <w:tr w14:paraId="7733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A453">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00CF">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17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B45一周以内</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DB78F">
            <w:pPr>
              <w:jc w:val="left"/>
              <w:rPr>
                <w:rFonts w:hint="eastAsia" w:ascii="宋体" w:hAnsi="宋体" w:eastAsia="宋体" w:cs="宋体"/>
                <w:i w:val="0"/>
                <w:iCs w:val="0"/>
                <w:color w:val="auto"/>
                <w:sz w:val="22"/>
                <w:szCs w:val="22"/>
                <w:highlight w:val="none"/>
                <w:u w:val="none"/>
              </w:rPr>
            </w:pPr>
          </w:p>
        </w:tc>
      </w:tr>
      <w:tr w14:paraId="4E00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844D">
            <w:pPr>
              <w:jc w:val="center"/>
              <w:rPr>
                <w:rFonts w:hint="eastAsia" w:ascii="宋体" w:hAnsi="宋体" w:eastAsia="宋体" w:cs="宋体"/>
                <w:i w:val="0"/>
                <w:iCs w:val="0"/>
                <w:color w:val="auto"/>
                <w:sz w:val="22"/>
                <w:szCs w:val="22"/>
                <w:highlight w:val="none"/>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9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B5学术会议</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A2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B51高水平国际会议</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27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须参会并作大会口头报告20分，做分会场口头报告10分，Poster5分，附佐证材料。</w:t>
            </w:r>
          </w:p>
        </w:tc>
      </w:tr>
      <w:tr w14:paraId="782A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28A0">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F88D">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3B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B52一级学会主办的高水平国内学术会议</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8C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须参会并作大会口头报告10分，做分会场口头报告5分，Poster2.5分，附佐证材料。</w:t>
            </w:r>
          </w:p>
        </w:tc>
      </w:tr>
      <w:tr w14:paraId="5E13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0DEB">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0323">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7B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B53本学科（专业）认可的高水平国内外学术会议</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8D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参会并作口头报告1分，仅参会0.5分，附佐证材料。</w:t>
            </w:r>
          </w:p>
        </w:tc>
      </w:tr>
      <w:tr w14:paraId="1A55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8692">
            <w:pPr>
              <w:jc w:val="center"/>
              <w:rPr>
                <w:rFonts w:hint="eastAsia" w:ascii="宋体" w:hAnsi="宋体" w:eastAsia="宋体" w:cs="宋体"/>
                <w:i w:val="0"/>
                <w:iCs w:val="0"/>
                <w:color w:val="auto"/>
                <w:sz w:val="22"/>
                <w:szCs w:val="22"/>
                <w:highlight w:val="none"/>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83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B6知识产权</w:t>
            </w:r>
          </w:p>
        </w:tc>
        <w:tc>
          <w:tcPr>
            <w:tcW w:w="2461" w:type="dxa"/>
            <w:tcBorders>
              <w:top w:val="nil"/>
              <w:left w:val="single" w:color="000000" w:sz="4" w:space="0"/>
              <w:bottom w:val="single" w:color="000000" w:sz="4" w:space="0"/>
              <w:right w:val="single" w:color="000000" w:sz="4" w:space="0"/>
            </w:tcBorders>
            <w:shd w:val="clear" w:color="auto" w:fill="auto"/>
            <w:vAlign w:val="center"/>
          </w:tcPr>
          <w:p w14:paraId="403A38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B61授权发明专利</w:t>
            </w:r>
          </w:p>
        </w:tc>
        <w:tc>
          <w:tcPr>
            <w:tcW w:w="9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50F38">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须以贵州大学为第一申请单位，发明专利学生排名第一或导师排名第一学生排名第二，实用新型专利学生排名第一，软件著作权申报联系人须为学生，并附佐证材料。除B61外，其他仅计1项。</w:t>
            </w:r>
          </w:p>
          <w:p w14:paraId="2BE5EA8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B61：300分</w:t>
            </w:r>
            <w:bookmarkStart w:id="11" w:name="_GoBack"/>
            <w:bookmarkEnd w:id="11"/>
          </w:p>
          <w:p w14:paraId="17B644C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B62：37.5分</w:t>
            </w:r>
          </w:p>
          <w:p w14:paraId="44C6EC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B63：7.5分</w:t>
            </w:r>
          </w:p>
        </w:tc>
      </w:tr>
      <w:tr w14:paraId="7B5C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C292">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7A7E">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DD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B62授权实用新型专利</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2C72">
            <w:pPr>
              <w:jc w:val="left"/>
              <w:rPr>
                <w:rFonts w:hint="eastAsia" w:ascii="宋体" w:hAnsi="宋体" w:eastAsia="宋体" w:cs="宋体"/>
                <w:i w:val="0"/>
                <w:iCs w:val="0"/>
                <w:color w:val="auto"/>
                <w:sz w:val="22"/>
                <w:szCs w:val="22"/>
                <w:highlight w:val="none"/>
                <w:u w:val="none"/>
              </w:rPr>
            </w:pPr>
          </w:p>
        </w:tc>
      </w:tr>
      <w:tr w14:paraId="5291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3573">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6888">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43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B63软件著作权</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4AEE0">
            <w:pPr>
              <w:jc w:val="left"/>
              <w:rPr>
                <w:rFonts w:hint="eastAsia" w:ascii="宋体" w:hAnsi="宋体" w:eastAsia="宋体" w:cs="宋体"/>
                <w:i w:val="0"/>
                <w:iCs w:val="0"/>
                <w:color w:val="auto"/>
                <w:sz w:val="22"/>
                <w:szCs w:val="22"/>
                <w:highlight w:val="none"/>
                <w:u w:val="none"/>
              </w:rPr>
            </w:pPr>
          </w:p>
        </w:tc>
      </w:tr>
      <w:tr w14:paraId="6676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8AB0">
            <w:pPr>
              <w:jc w:val="center"/>
              <w:rPr>
                <w:rFonts w:hint="eastAsia" w:ascii="宋体" w:hAnsi="宋体" w:eastAsia="宋体" w:cs="宋体"/>
                <w:i w:val="0"/>
                <w:iCs w:val="0"/>
                <w:color w:val="auto"/>
                <w:sz w:val="22"/>
                <w:szCs w:val="22"/>
                <w:highlight w:val="none"/>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85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B7科研项目</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D0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B71国家自科基金面上项目或国家社科基金一般项目</w:t>
            </w:r>
          </w:p>
        </w:tc>
        <w:tc>
          <w:tcPr>
            <w:tcW w:w="9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0B5A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B75、B76学生须为项目主持人，B71-B74除导师外，学生须为项目前5参与人，且以贵州大学为第一申报单位。仅限立项或结项当年使用，不得每年重复使用，结项时要扣除立项时计算的分值。主持人加全分，参与按所有参与人人均计算后加分。</w:t>
            </w:r>
          </w:p>
          <w:p w14:paraId="1415DD8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B71：立项50；结项100</w:t>
            </w:r>
          </w:p>
          <w:p w14:paraId="692EDA3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B72：立项40；结项80</w:t>
            </w:r>
          </w:p>
          <w:p w14:paraId="2293035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B73：立项25；结项50</w:t>
            </w:r>
          </w:p>
          <w:p w14:paraId="3ABDA48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B74：立项20；结项40</w:t>
            </w:r>
          </w:p>
          <w:p w14:paraId="3170684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B75：立项15；结项30</w:t>
            </w:r>
          </w:p>
          <w:p w14:paraId="617592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B76：立项10；结项20</w:t>
            </w:r>
          </w:p>
        </w:tc>
      </w:tr>
      <w:tr w14:paraId="7BE4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9830">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FD38">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60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B72国家自科基金地区项目/青年项目，国家社科基金西部项目/青年项目</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4DECD">
            <w:pPr>
              <w:jc w:val="left"/>
              <w:rPr>
                <w:rFonts w:hint="eastAsia" w:ascii="宋体" w:hAnsi="宋体" w:eastAsia="宋体" w:cs="宋体"/>
                <w:i w:val="0"/>
                <w:iCs w:val="0"/>
                <w:color w:val="auto"/>
                <w:sz w:val="22"/>
                <w:szCs w:val="22"/>
                <w:highlight w:val="none"/>
                <w:u w:val="none"/>
              </w:rPr>
            </w:pPr>
          </w:p>
        </w:tc>
      </w:tr>
      <w:tr w14:paraId="6227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EE3D">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E89C">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29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B73省部级重大科研项目</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FB16">
            <w:pPr>
              <w:jc w:val="left"/>
              <w:rPr>
                <w:rFonts w:hint="eastAsia" w:ascii="宋体" w:hAnsi="宋体" w:eastAsia="宋体" w:cs="宋体"/>
                <w:i w:val="0"/>
                <w:iCs w:val="0"/>
                <w:color w:val="auto"/>
                <w:sz w:val="22"/>
                <w:szCs w:val="22"/>
                <w:highlight w:val="none"/>
                <w:u w:val="none"/>
              </w:rPr>
            </w:pPr>
          </w:p>
        </w:tc>
      </w:tr>
      <w:tr w14:paraId="0D45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4D44">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55D9">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3F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B74省部级一般项目</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041B3">
            <w:pPr>
              <w:jc w:val="left"/>
              <w:rPr>
                <w:rFonts w:hint="eastAsia" w:ascii="宋体" w:hAnsi="宋体" w:eastAsia="宋体" w:cs="宋体"/>
                <w:i w:val="0"/>
                <w:iCs w:val="0"/>
                <w:color w:val="auto"/>
                <w:sz w:val="22"/>
                <w:szCs w:val="22"/>
                <w:highlight w:val="none"/>
                <w:u w:val="none"/>
              </w:rPr>
            </w:pPr>
          </w:p>
        </w:tc>
      </w:tr>
      <w:tr w14:paraId="6988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DF5D">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C437">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C8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B75厅级一般项目</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D8E59">
            <w:pPr>
              <w:jc w:val="left"/>
              <w:rPr>
                <w:rFonts w:hint="eastAsia" w:ascii="宋体" w:hAnsi="宋体" w:eastAsia="宋体" w:cs="宋体"/>
                <w:i w:val="0"/>
                <w:iCs w:val="0"/>
                <w:color w:val="auto"/>
                <w:sz w:val="22"/>
                <w:szCs w:val="22"/>
                <w:highlight w:val="none"/>
                <w:u w:val="none"/>
              </w:rPr>
            </w:pPr>
          </w:p>
        </w:tc>
      </w:tr>
      <w:tr w14:paraId="6DD5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65AA">
            <w:pPr>
              <w:jc w:val="center"/>
              <w:rPr>
                <w:rFonts w:hint="eastAsia" w:ascii="宋体" w:hAnsi="宋体" w:eastAsia="宋体" w:cs="宋体"/>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571A">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nil"/>
              <w:right w:val="single" w:color="000000" w:sz="4" w:space="0"/>
            </w:tcBorders>
            <w:shd w:val="clear" w:color="auto" w:fill="auto"/>
            <w:vAlign w:val="center"/>
          </w:tcPr>
          <w:p w14:paraId="7B4444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B76校级一般项目</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3852">
            <w:pPr>
              <w:jc w:val="left"/>
              <w:rPr>
                <w:rFonts w:hint="eastAsia" w:ascii="宋体" w:hAnsi="宋体" w:eastAsia="宋体" w:cs="宋体"/>
                <w:i w:val="0"/>
                <w:iCs w:val="0"/>
                <w:color w:val="auto"/>
                <w:sz w:val="22"/>
                <w:szCs w:val="22"/>
                <w:highlight w:val="none"/>
                <w:u w:val="none"/>
              </w:rPr>
            </w:pPr>
          </w:p>
        </w:tc>
      </w:tr>
      <w:tr w14:paraId="6ABD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1B1E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C体育/D美育</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D7D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C1/D1文艺、体育竞赛</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1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C11/D11特等奖</w:t>
            </w:r>
          </w:p>
        </w:tc>
        <w:tc>
          <w:tcPr>
            <w:tcW w:w="939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C618F41">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文艺类项目包含中央宣传部、文化和旅游部、中国文联等国家级宣传文化部门、人民团体批准参加的国际文艺类评奖或比赛项目；中央宣传部、文化和旅游部、中国文联等国家级宣传文化部门、人民团体批准的常设全国性文艺、新闻、出版、社科评奖或比赛项目；各省（自治区、直辖市）省委宣传部、文化和旅游厅、省文联等省级宣传部门、人民团体批准的常设文艺类评奖或比赛项目；各地州市市委宣传部、文化和广电旅游体育局、市文联等市级宣传文化部门、人民团体批准的文艺类评奖或比赛项目等。行业协会类的竞赛项目降级处理，以证书公章为准。</w:t>
            </w:r>
          </w:p>
          <w:p w14:paraId="53B6D28C">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p>
          <w:p w14:paraId="36288685">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体育类项目包含奥运会、残奥会、青奥会、世界大学生运动会、亚运会和各国际单项体育联盟组织的世界杯、世锦赛、世青赛等赛事；国务院、教育部、国家民族事务委员会和国家体育总局主办的综合性运动会、中国学生体育协会组织的单项赛事及国家体育总局各单项体育协会举办的单项赛事；各省（自治区、直辖市）政府、体育局、教育厅主办的综合性体育赛事；各省（自治区、直辖市）体育局、教育厅主办的体育赛事。</w:t>
            </w:r>
          </w:p>
          <w:p w14:paraId="72F6C15C">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p>
          <w:p w14:paraId="20F430CE">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校级体育、文化活动指党委办公室、校长办公室、党委宣传部、研究生工作部、团委、工会等相关职能部门面向全校举办的体育、文化活动。院级指学院面向全院举办的体育、文化活动。</w:t>
            </w:r>
          </w:p>
          <w:p w14:paraId="3737BCA9">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p>
          <w:p w14:paraId="26522B14">
            <w:pPr>
              <w:keepNext w:val="0"/>
              <w:keepLines w:val="0"/>
              <w:widowControl/>
              <w:numPr>
                <w:ilvl w:val="-1"/>
                <w:numId w:val="0"/>
              </w:numPr>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加分标准：</w:t>
            </w:r>
            <w:r>
              <w:rPr>
                <w:rFonts w:hint="eastAsia" w:ascii="宋体" w:hAnsi="宋体" w:eastAsia="宋体" w:cs="宋体"/>
                <w:i w:val="0"/>
                <w:iCs w:val="0"/>
                <w:color w:val="auto"/>
                <w:kern w:val="0"/>
                <w:sz w:val="22"/>
                <w:szCs w:val="22"/>
                <w:highlight w:val="none"/>
                <w:u w:val="none"/>
                <w:lang w:val="en-US" w:eastAsia="zh-CN" w:bidi="ar"/>
              </w:rPr>
              <w:t>国际级（特等30分、一等29分、二等28分、三等27分、优秀26分）；国家级（特等26分、一等25分、二等24分、三等23分、优秀22分）；省部级（特等22分、一等21分、二等20分、三等19分、优秀18分）；市厅级（特等18分、一等17分、二等16分、三等15分、优秀14分）；校级（特等14分、一等13分、二等12分、三等11分、优秀10分）；院级（特等10分、一等9分、二等8分、三等7分、优秀6分）。（未设置特等奖的竞赛项目，一等奖（金奖）参照特等奖加分，其它等级加分依次类推。）</w:t>
            </w:r>
          </w:p>
          <w:p w14:paraId="0B8F8382">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加分说明：</w:t>
            </w:r>
            <w:r>
              <w:rPr>
                <w:rFonts w:hint="eastAsia" w:ascii="宋体" w:hAnsi="宋体" w:eastAsia="宋体" w:cs="宋体"/>
                <w:b w:val="0"/>
                <w:bCs w:val="0"/>
                <w:i w:val="0"/>
                <w:iCs w:val="0"/>
                <w:color w:val="auto"/>
                <w:kern w:val="0"/>
                <w:sz w:val="22"/>
                <w:szCs w:val="22"/>
                <w:highlight w:val="none"/>
                <w:u w:val="none"/>
                <w:lang w:val="en-US" w:eastAsia="zh-CN" w:bidi="ar"/>
              </w:rPr>
              <w:t>个人获奖加全分；</w:t>
            </w:r>
            <w:r>
              <w:rPr>
                <w:rFonts w:hint="eastAsia" w:ascii="宋体" w:hAnsi="宋体" w:eastAsia="宋体" w:cs="宋体"/>
                <w:i w:val="0"/>
                <w:iCs w:val="0"/>
                <w:color w:val="auto"/>
                <w:kern w:val="0"/>
                <w:sz w:val="22"/>
                <w:szCs w:val="22"/>
                <w:highlight w:val="none"/>
                <w:u w:val="none"/>
                <w:lang w:val="en-US" w:eastAsia="zh-CN" w:bidi="ar"/>
              </w:rPr>
              <w:t>团体活动获奖负责人或队长加全分，其余成员分值减半计算，若无队长则全体成员均减半计算。</w:t>
            </w:r>
          </w:p>
        </w:tc>
      </w:tr>
      <w:tr w14:paraId="7904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25F36">
            <w:pPr>
              <w:jc w:val="center"/>
              <w:rPr>
                <w:rFonts w:hint="eastAsia" w:ascii="宋体" w:hAnsi="宋体" w:eastAsia="宋体" w:cs="宋体"/>
                <w:b/>
                <w:bCs/>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DA48">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D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C12/D12一等奖</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EC1C7B">
            <w:pPr>
              <w:jc w:val="left"/>
              <w:rPr>
                <w:rFonts w:hint="eastAsia" w:ascii="宋体" w:hAnsi="宋体" w:eastAsia="宋体" w:cs="宋体"/>
                <w:i w:val="0"/>
                <w:iCs w:val="0"/>
                <w:color w:val="auto"/>
                <w:sz w:val="22"/>
                <w:szCs w:val="22"/>
                <w:highlight w:val="none"/>
                <w:u w:val="none"/>
              </w:rPr>
            </w:pPr>
          </w:p>
        </w:tc>
      </w:tr>
      <w:tr w14:paraId="6057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CE08D">
            <w:pPr>
              <w:jc w:val="center"/>
              <w:rPr>
                <w:rFonts w:hint="eastAsia" w:ascii="宋体" w:hAnsi="宋体" w:eastAsia="宋体" w:cs="宋体"/>
                <w:b/>
                <w:bCs/>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88C2">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5F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C13/D13二等奖</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E298A8">
            <w:pPr>
              <w:jc w:val="left"/>
              <w:rPr>
                <w:rFonts w:hint="eastAsia" w:ascii="宋体" w:hAnsi="宋体" w:eastAsia="宋体" w:cs="宋体"/>
                <w:i w:val="0"/>
                <w:iCs w:val="0"/>
                <w:color w:val="auto"/>
                <w:sz w:val="22"/>
                <w:szCs w:val="22"/>
                <w:highlight w:val="none"/>
                <w:u w:val="none"/>
              </w:rPr>
            </w:pPr>
          </w:p>
        </w:tc>
      </w:tr>
      <w:tr w14:paraId="52DD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E44F">
            <w:pPr>
              <w:jc w:val="center"/>
              <w:rPr>
                <w:rFonts w:hint="eastAsia" w:ascii="宋体" w:hAnsi="宋体" w:eastAsia="宋体" w:cs="宋体"/>
                <w:b/>
                <w:bCs/>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985F">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B9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C14/D14三等奖</w:t>
            </w:r>
          </w:p>
        </w:tc>
        <w:tc>
          <w:tcPr>
            <w:tcW w:w="939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2BE4BC">
            <w:pPr>
              <w:jc w:val="left"/>
              <w:rPr>
                <w:rFonts w:hint="eastAsia" w:ascii="宋体" w:hAnsi="宋体" w:eastAsia="宋体" w:cs="宋体"/>
                <w:i w:val="0"/>
                <w:iCs w:val="0"/>
                <w:color w:val="auto"/>
                <w:sz w:val="22"/>
                <w:szCs w:val="22"/>
                <w:highlight w:val="none"/>
                <w:u w:val="none"/>
              </w:rPr>
            </w:pPr>
          </w:p>
        </w:tc>
      </w:tr>
      <w:tr w14:paraId="147C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640B">
            <w:pPr>
              <w:jc w:val="center"/>
              <w:rPr>
                <w:rFonts w:hint="eastAsia" w:ascii="宋体" w:hAnsi="宋体" w:eastAsia="宋体" w:cs="宋体"/>
                <w:b/>
                <w:bCs/>
                <w:i w:val="0"/>
                <w:iCs w:val="0"/>
                <w:color w:val="auto"/>
                <w:sz w:val="22"/>
                <w:szCs w:val="22"/>
                <w:highlight w:val="none"/>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F4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C2/D2组建或参加社团、俱乐部</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F4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C21/D21组建体育社团、俱乐部，艺术类团体</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F3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国家级30分、省部级25分、市厅级20分、校级15分、院级10分。</w:t>
            </w:r>
          </w:p>
        </w:tc>
      </w:tr>
      <w:tr w14:paraId="703F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ABE4">
            <w:pPr>
              <w:jc w:val="center"/>
              <w:rPr>
                <w:rFonts w:hint="eastAsia" w:ascii="宋体" w:hAnsi="宋体" w:eastAsia="宋体" w:cs="宋体"/>
                <w:b/>
                <w:bCs/>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6790A">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6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C22/D22参加体育社团、俱乐部，艺术类团体</w:t>
            </w:r>
          </w:p>
        </w:tc>
        <w:tc>
          <w:tcPr>
            <w:tcW w:w="9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DB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国家级12分、省部级10分、市厅级8分、校级6分、院级4分。</w:t>
            </w:r>
          </w:p>
        </w:tc>
      </w:tr>
      <w:tr w14:paraId="6075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A42D">
            <w:pPr>
              <w:jc w:val="center"/>
              <w:rPr>
                <w:rFonts w:hint="eastAsia" w:ascii="宋体" w:hAnsi="宋体" w:eastAsia="宋体" w:cs="宋体"/>
                <w:b/>
                <w:bCs/>
                <w:i w:val="0"/>
                <w:iCs w:val="0"/>
                <w:color w:val="auto"/>
                <w:sz w:val="22"/>
                <w:szCs w:val="22"/>
                <w:highlight w:val="none"/>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4E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C3/D3参加体育、文化活动</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14:paraId="36D275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C31/D31组织活动</w:t>
            </w:r>
          </w:p>
        </w:tc>
        <w:tc>
          <w:tcPr>
            <w:tcW w:w="9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1062BB78">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加分标准</w:t>
            </w:r>
            <w:r>
              <w:rPr>
                <w:rFonts w:hint="eastAsia" w:ascii="宋体" w:hAnsi="宋体" w:eastAsia="宋体" w:cs="宋体"/>
                <w:i w:val="0"/>
                <w:iCs w:val="0"/>
                <w:color w:val="auto"/>
                <w:kern w:val="0"/>
                <w:sz w:val="22"/>
                <w:szCs w:val="22"/>
                <w:highlight w:val="none"/>
                <w:u w:val="none"/>
                <w:lang w:val="en-US" w:eastAsia="zh-CN" w:bidi="ar"/>
              </w:rPr>
              <w:t>：国家级30分、省部级25分、市厅级20分、校级15分、院级10分。</w:t>
            </w:r>
          </w:p>
          <w:p w14:paraId="5691EF3C">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加分说明：</w:t>
            </w:r>
            <w:r>
              <w:rPr>
                <w:rFonts w:hint="eastAsia" w:ascii="宋体" w:hAnsi="宋体" w:eastAsia="宋体" w:cs="宋体"/>
                <w:i w:val="0"/>
                <w:iCs w:val="0"/>
                <w:color w:val="auto"/>
                <w:kern w:val="0"/>
                <w:sz w:val="22"/>
                <w:szCs w:val="22"/>
                <w:highlight w:val="none"/>
                <w:u w:val="none"/>
                <w:lang w:val="en-US" w:eastAsia="zh-CN" w:bidi="ar"/>
              </w:rPr>
              <w:t>活动组织者100%，活动主要负责人分数80%。</w:t>
            </w:r>
          </w:p>
        </w:tc>
      </w:tr>
      <w:tr w14:paraId="0C22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E2DA">
            <w:pPr>
              <w:jc w:val="center"/>
              <w:rPr>
                <w:rFonts w:hint="eastAsia" w:ascii="宋体" w:hAnsi="宋体" w:eastAsia="宋体" w:cs="宋体"/>
                <w:b/>
                <w:bCs/>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2C989E8">
            <w:pPr>
              <w:jc w:val="center"/>
              <w:rPr>
                <w:rFonts w:hint="eastAsia" w:ascii="宋体" w:hAnsi="宋体" w:eastAsia="宋体" w:cs="宋体"/>
                <w:i w:val="0"/>
                <w:iCs w:val="0"/>
                <w:color w:val="auto"/>
                <w:sz w:val="22"/>
                <w:szCs w:val="22"/>
                <w:highlight w:val="none"/>
                <w:u w:val="none"/>
              </w:rPr>
            </w:pP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14:paraId="348E3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C32/D32参与活动</w:t>
            </w:r>
          </w:p>
        </w:tc>
        <w:tc>
          <w:tcPr>
            <w:tcW w:w="9394" w:type="dxa"/>
            <w:tcBorders>
              <w:top w:val="single" w:color="auto" w:sz="4" w:space="0"/>
              <w:left w:val="single" w:color="auto" w:sz="4" w:space="0"/>
              <w:bottom w:val="single" w:color="auto" w:sz="4" w:space="0"/>
              <w:right w:val="single" w:color="auto" w:sz="4" w:space="0"/>
            </w:tcBorders>
            <w:shd w:val="clear" w:color="auto" w:fill="auto"/>
            <w:vAlign w:val="center"/>
          </w:tcPr>
          <w:p w14:paraId="493888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国家级12分、省部级10分、市厅级8分、校级6分、院级4分。</w:t>
            </w:r>
          </w:p>
        </w:tc>
      </w:tr>
      <w:tr w14:paraId="5A67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E9C8D">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E劳动</w:t>
            </w:r>
          </w:p>
          <w:p w14:paraId="50CF0A0C">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p w14:paraId="771DE89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教育</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A49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E1志愿实践</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14:paraId="7EB77A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E11社会实践</w:t>
            </w:r>
          </w:p>
        </w:tc>
        <w:tc>
          <w:tcPr>
            <w:tcW w:w="9394" w:type="dxa"/>
            <w:vMerge w:val="restart"/>
            <w:tcBorders>
              <w:top w:val="single" w:color="auto" w:sz="4" w:space="0"/>
              <w:left w:val="single" w:color="000000" w:sz="4" w:space="0"/>
              <w:right w:val="single" w:color="000000" w:sz="4" w:space="0"/>
            </w:tcBorders>
            <w:shd w:val="clear" w:color="auto" w:fill="auto"/>
            <w:vAlign w:val="center"/>
          </w:tcPr>
          <w:p w14:paraId="45454DBB">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加分标准：</w:t>
            </w:r>
            <w:r>
              <w:rPr>
                <w:rFonts w:hint="eastAsia" w:ascii="宋体" w:hAnsi="宋体" w:eastAsia="宋体" w:cs="宋体"/>
                <w:i w:val="0"/>
                <w:iCs w:val="0"/>
                <w:color w:val="auto"/>
                <w:kern w:val="0"/>
                <w:sz w:val="22"/>
                <w:szCs w:val="22"/>
                <w:highlight w:val="none"/>
                <w:u w:val="none"/>
                <w:lang w:val="en-US" w:eastAsia="zh-CN" w:bidi="ar"/>
              </w:rPr>
              <w:t>国家级（一等30分、二等28分、三等26分、优秀25分）；省部级（一等25分、二等23分、三等21分、优秀20分）；市厅级（一等20分、二等18分、三等16分、优秀15分）；校级（一等15分、二等13分、三等11分、优秀10分）；院级（一等10分、二等8分、三等6分、优秀5分）。</w:t>
            </w:r>
          </w:p>
          <w:p w14:paraId="33528DBA">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加分说明：</w:t>
            </w:r>
            <w:r>
              <w:rPr>
                <w:rFonts w:hint="eastAsia" w:ascii="宋体" w:hAnsi="宋体" w:eastAsia="宋体" w:cs="宋体"/>
                <w:b w:val="0"/>
                <w:bCs w:val="0"/>
                <w:i w:val="0"/>
                <w:iCs w:val="0"/>
                <w:color w:val="auto"/>
                <w:kern w:val="0"/>
                <w:sz w:val="22"/>
                <w:szCs w:val="22"/>
                <w:highlight w:val="none"/>
                <w:u w:val="none"/>
                <w:lang w:val="en-US" w:eastAsia="zh-CN" w:bidi="ar"/>
              </w:rPr>
              <w:t>个人获奖加全分；团体获奖</w:t>
            </w:r>
            <w:r>
              <w:rPr>
                <w:rFonts w:hint="eastAsia" w:ascii="宋体" w:hAnsi="宋体" w:eastAsia="宋体" w:cs="宋体"/>
                <w:i w:val="0"/>
                <w:iCs w:val="0"/>
                <w:color w:val="auto"/>
                <w:kern w:val="0"/>
                <w:sz w:val="22"/>
                <w:szCs w:val="22"/>
                <w:highlight w:val="none"/>
                <w:u w:val="none"/>
                <w:lang w:val="en-US" w:eastAsia="zh-CN" w:bidi="ar"/>
              </w:rPr>
              <w:t>负责人或队长加全分，其余成员分值减半计算；“博士工程师”“博士村长”项目在学校按期结项（未获得等级奖项）的按院级优秀奖认定分值。担任学校助管（一学期）、学院研究生自习室志愿者（一学期）加10分；担任其他经学校认可的志愿者服务（服务期一周以上加8分，服务期三天以上加5分。</w:t>
            </w:r>
          </w:p>
        </w:tc>
      </w:tr>
      <w:tr w14:paraId="3A38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7F18E">
            <w:pPr>
              <w:jc w:val="center"/>
              <w:rPr>
                <w:rFonts w:hint="eastAsia" w:ascii="宋体" w:hAnsi="宋体" w:eastAsia="宋体" w:cs="宋体"/>
                <w:b/>
                <w:bCs/>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7EC65">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A7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E12志愿服务</w:t>
            </w:r>
          </w:p>
        </w:tc>
        <w:tc>
          <w:tcPr>
            <w:tcW w:w="9394" w:type="dxa"/>
            <w:vMerge w:val="continue"/>
            <w:tcBorders>
              <w:left w:val="single" w:color="000000" w:sz="4" w:space="0"/>
              <w:bottom w:val="single" w:color="000000" w:sz="4" w:space="0"/>
              <w:right w:val="single" w:color="000000" w:sz="4" w:space="0"/>
            </w:tcBorders>
            <w:shd w:val="clear" w:color="auto" w:fill="auto"/>
            <w:vAlign w:val="center"/>
          </w:tcPr>
          <w:p w14:paraId="0E1A1AC2">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p>
        </w:tc>
      </w:tr>
      <w:tr w14:paraId="44C4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3E3E">
            <w:pPr>
              <w:jc w:val="center"/>
              <w:rPr>
                <w:rFonts w:hint="eastAsia" w:ascii="宋体" w:hAnsi="宋体" w:eastAsia="宋体" w:cs="宋体"/>
                <w:b/>
                <w:bCs/>
                <w:i w:val="0"/>
                <w:iCs w:val="0"/>
                <w:color w:val="auto"/>
                <w:sz w:val="22"/>
                <w:szCs w:val="22"/>
                <w:highlight w:val="none"/>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861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E2劳动教育主题活动</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31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E21组织活动</w:t>
            </w:r>
          </w:p>
        </w:tc>
        <w:tc>
          <w:tcPr>
            <w:tcW w:w="9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7F20EF6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加分标准</w:t>
            </w:r>
            <w:r>
              <w:rPr>
                <w:rFonts w:hint="eastAsia" w:ascii="宋体" w:hAnsi="宋体" w:eastAsia="宋体" w:cs="宋体"/>
                <w:i w:val="0"/>
                <w:iCs w:val="0"/>
                <w:color w:val="auto"/>
                <w:kern w:val="0"/>
                <w:sz w:val="22"/>
                <w:szCs w:val="22"/>
                <w:highlight w:val="none"/>
                <w:u w:val="none"/>
                <w:lang w:val="en-US" w:eastAsia="zh-CN" w:bidi="ar"/>
              </w:rPr>
              <w:t>：国家级30分、省部级20分、市厅级15分、校级10分、院级5分。</w:t>
            </w:r>
          </w:p>
          <w:p w14:paraId="28775E94">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加分说明：</w:t>
            </w:r>
            <w:r>
              <w:rPr>
                <w:rFonts w:hint="eastAsia" w:ascii="宋体" w:hAnsi="宋体" w:eastAsia="宋体" w:cs="宋体"/>
                <w:b w:val="0"/>
                <w:bCs w:val="0"/>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活动组织者100%，活动主要负责人分数80%。</w:t>
            </w:r>
          </w:p>
        </w:tc>
      </w:tr>
      <w:tr w14:paraId="2D87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12468">
            <w:pPr>
              <w:jc w:val="center"/>
              <w:rPr>
                <w:rFonts w:hint="eastAsia" w:ascii="宋体" w:hAnsi="宋体" w:eastAsia="宋体" w:cs="宋体"/>
                <w:b/>
                <w:bCs/>
                <w:i w:val="0"/>
                <w:iCs w:val="0"/>
                <w:color w:val="auto"/>
                <w:sz w:val="22"/>
                <w:szCs w:val="22"/>
                <w:highlight w:val="none"/>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B94D6">
            <w:pPr>
              <w:jc w:val="center"/>
              <w:rPr>
                <w:rFonts w:hint="eastAsia" w:ascii="宋体" w:hAnsi="宋体" w:eastAsia="宋体" w:cs="宋体"/>
                <w:i w:val="0"/>
                <w:iCs w:val="0"/>
                <w:color w:val="auto"/>
                <w:sz w:val="22"/>
                <w:szCs w:val="22"/>
                <w:highlight w:val="none"/>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B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E22参与活动</w:t>
            </w:r>
          </w:p>
        </w:tc>
        <w:tc>
          <w:tcPr>
            <w:tcW w:w="9394" w:type="dxa"/>
            <w:tcBorders>
              <w:top w:val="single" w:color="auto" w:sz="4" w:space="0"/>
              <w:left w:val="single" w:color="000000" w:sz="4" w:space="0"/>
              <w:bottom w:val="single" w:color="auto" w:sz="4" w:space="0"/>
              <w:right w:val="single" w:color="000000" w:sz="4" w:space="0"/>
            </w:tcBorders>
            <w:shd w:val="clear" w:color="auto" w:fill="auto"/>
            <w:vAlign w:val="center"/>
          </w:tcPr>
          <w:p w14:paraId="44EEC1A4">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加分标准：</w:t>
            </w:r>
            <w:r>
              <w:rPr>
                <w:rFonts w:hint="eastAsia" w:ascii="宋体" w:hAnsi="宋体" w:eastAsia="宋体" w:cs="宋体"/>
                <w:i w:val="0"/>
                <w:iCs w:val="0"/>
                <w:color w:val="auto"/>
                <w:kern w:val="0"/>
                <w:sz w:val="22"/>
                <w:szCs w:val="22"/>
                <w:highlight w:val="none"/>
                <w:u w:val="none"/>
                <w:lang w:val="en-US" w:eastAsia="zh-CN" w:bidi="ar"/>
              </w:rPr>
              <w:t>国家级12分、省部级10分、市厅级8分、校级4分、院级2分。</w:t>
            </w:r>
          </w:p>
        </w:tc>
      </w:tr>
    </w:tbl>
    <w:p w14:paraId="7F759401">
      <w:pPr>
        <w:spacing w:line="560" w:lineRule="exact"/>
        <w:jc w:val="both"/>
        <w:rPr>
          <w:rFonts w:eastAsia="方正小标宋简体" w:cs="Times New Roman"/>
          <w:color w:val="auto"/>
          <w:sz w:val="40"/>
          <w:szCs w:val="32"/>
          <w:highlight w:val="none"/>
        </w:rPr>
      </w:pPr>
    </w:p>
    <w:p w14:paraId="313BCA1C">
      <w:pPr>
        <w:widowControl/>
        <w:jc w:val="both"/>
        <w:textAlignment w:val="top"/>
        <w:rPr>
          <w:rFonts w:eastAsia="仿宋" w:cs="Times New Roman"/>
          <w:b/>
          <w:bCs/>
          <w:color w:val="auto"/>
          <w:kern w:val="0"/>
          <w:sz w:val="21"/>
          <w:szCs w:val="21"/>
          <w:highlight w:val="none"/>
          <w:lang w:bidi="ar"/>
        </w:rPr>
      </w:pPr>
    </w:p>
    <w:p w14:paraId="0F14C0E6">
      <w:pPr>
        <w:widowControl/>
        <w:jc w:val="both"/>
        <w:textAlignment w:val="top"/>
        <w:rPr>
          <w:rFonts w:eastAsia="仿宋" w:cs="Times New Roman"/>
          <w:b/>
          <w:bCs/>
          <w:color w:val="auto"/>
          <w:kern w:val="0"/>
          <w:sz w:val="21"/>
          <w:szCs w:val="21"/>
          <w:highlight w:val="none"/>
          <w:lang w:bidi="ar"/>
        </w:rPr>
      </w:pPr>
    </w:p>
    <w:p w14:paraId="5B52673B">
      <w:pPr>
        <w:widowControl/>
        <w:jc w:val="both"/>
        <w:textAlignment w:val="top"/>
        <w:rPr>
          <w:rFonts w:eastAsia="仿宋" w:cs="Times New Roman"/>
          <w:b/>
          <w:bCs/>
          <w:color w:val="auto"/>
          <w:kern w:val="0"/>
          <w:sz w:val="21"/>
          <w:szCs w:val="21"/>
          <w:highlight w:val="none"/>
          <w:lang w:bidi="ar"/>
        </w:rPr>
      </w:pPr>
    </w:p>
    <w:p w14:paraId="61E0DA2B">
      <w:pPr>
        <w:widowControl/>
        <w:jc w:val="both"/>
        <w:textAlignment w:val="top"/>
        <w:rPr>
          <w:rFonts w:eastAsia="仿宋" w:cs="Times New Roman"/>
          <w:b/>
          <w:bCs/>
          <w:color w:val="auto"/>
          <w:kern w:val="0"/>
          <w:sz w:val="21"/>
          <w:szCs w:val="21"/>
          <w:highlight w:val="none"/>
          <w:lang w:bidi="ar"/>
        </w:rPr>
      </w:pPr>
    </w:p>
    <w:p w14:paraId="529A5863">
      <w:pPr>
        <w:widowControl/>
        <w:jc w:val="both"/>
        <w:textAlignment w:val="top"/>
        <w:rPr>
          <w:rFonts w:eastAsia="仿宋" w:cs="Times New Roman"/>
          <w:b/>
          <w:bCs/>
          <w:color w:val="auto"/>
          <w:kern w:val="0"/>
          <w:sz w:val="21"/>
          <w:szCs w:val="21"/>
          <w:highlight w:val="none"/>
          <w:lang w:bidi="ar"/>
        </w:rPr>
      </w:pPr>
    </w:p>
    <w:p w14:paraId="6E630159">
      <w:pPr>
        <w:widowControl/>
        <w:jc w:val="both"/>
        <w:textAlignment w:val="top"/>
        <w:rPr>
          <w:rFonts w:eastAsia="仿宋" w:cs="Times New Roman"/>
          <w:b/>
          <w:bCs/>
          <w:color w:val="auto"/>
          <w:kern w:val="0"/>
          <w:sz w:val="21"/>
          <w:szCs w:val="21"/>
          <w:highlight w:val="none"/>
          <w:lang w:bidi="ar"/>
        </w:rPr>
      </w:pPr>
    </w:p>
    <w:p w14:paraId="2FA25CBF">
      <w:pPr>
        <w:widowControl/>
        <w:jc w:val="both"/>
        <w:textAlignment w:val="top"/>
        <w:rPr>
          <w:rFonts w:eastAsia="仿宋" w:cs="Times New Roman"/>
          <w:b/>
          <w:bCs/>
          <w:color w:val="auto"/>
          <w:kern w:val="0"/>
          <w:sz w:val="21"/>
          <w:szCs w:val="21"/>
          <w:highlight w:val="none"/>
          <w:lang w:bidi="ar"/>
        </w:rPr>
      </w:pPr>
    </w:p>
    <w:p w14:paraId="0ED12619">
      <w:pPr>
        <w:widowControl/>
        <w:jc w:val="both"/>
        <w:textAlignment w:val="top"/>
        <w:rPr>
          <w:rFonts w:hint="eastAsia" w:eastAsia="仿宋" w:cs="Times New Roman"/>
          <w:color w:val="auto"/>
          <w:kern w:val="0"/>
          <w:sz w:val="21"/>
          <w:szCs w:val="21"/>
          <w:highlight w:val="none"/>
          <w:lang w:eastAsia="zh-CN" w:bidi="ar"/>
        </w:rPr>
      </w:pPr>
      <w:r>
        <w:rPr>
          <w:rFonts w:eastAsia="仿宋" w:cs="Times New Roman"/>
          <w:b/>
          <w:bCs/>
          <w:color w:val="auto"/>
          <w:kern w:val="0"/>
          <w:sz w:val="21"/>
          <w:szCs w:val="21"/>
          <w:highlight w:val="none"/>
          <w:lang w:bidi="ar"/>
        </w:rPr>
        <w:t>说明：</w:t>
      </w:r>
    </w:p>
    <w:p w14:paraId="47C7D2CB">
      <w:pPr>
        <w:widowControl/>
        <w:jc w:val="both"/>
        <w:textAlignment w:val="top"/>
        <w:rPr>
          <w:rFonts w:hint="eastAsia" w:eastAsia="仿宋" w:cs="Times New Roman"/>
          <w:color w:val="auto"/>
          <w:kern w:val="0"/>
          <w:sz w:val="21"/>
          <w:szCs w:val="21"/>
          <w:highlight w:val="none"/>
          <w:lang w:eastAsia="zh-CN" w:bidi="ar"/>
        </w:rPr>
      </w:pPr>
    </w:p>
    <w:p w14:paraId="3603B0DC">
      <w:pPr>
        <w:widowControl/>
        <w:jc w:val="both"/>
        <w:textAlignment w:val="top"/>
        <w:rPr>
          <w:rFonts w:hint="eastAsia" w:eastAsia="仿宋" w:cs="Times New Roman"/>
          <w:color w:val="auto"/>
          <w:kern w:val="0"/>
          <w:sz w:val="21"/>
          <w:szCs w:val="21"/>
          <w:highlight w:val="none"/>
          <w:lang w:eastAsia="zh-CN" w:bidi="ar"/>
        </w:rPr>
      </w:pPr>
      <w:r>
        <w:rPr>
          <w:rFonts w:hint="eastAsia" w:eastAsia="仿宋" w:cs="Times New Roman"/>
          <w:color w:val="auto"/>
          <w:kern w:val="0"/>
          <w:sz w:val="21"/>
          <w:szCs w:val="21"/>
          <w:highlight w:val="none"/>
          <w:lang w:val="en-US" w:eastAsia="zh-CN" w:bidi="ar"/>
        </w:rPr>
        <w:t>1</w:t>
      </w:r>
      <w:r>
        <w:rPr>
          <w:rFonts w:eastAsia="仿宋" w:cs="Times New Roman"/>
          <w:color w:val="auto"/>
          <w:kern w:val="0"/>
          <w:sz w:val="21"/>
          <w:szCs w:val="21"/>
          <w:highlight w:val="none"/>
          <w:lang w:bidi="ar"/>
        </w:rPr>
        <w:t>.计分依据：细则内每项成果须为评奖学年内（上一年度9月1日至当年8月31日/3月31日）取得的成果，成果认定以证书或发表时间为准。中文论文须以正式发表见刊为准，英文论文须以ONLINE为准且有DOI号。</w:t>
      </w:r>
    </w:p>
    <w:p w14:paraId="6224D9C6">
      <w:pPr>
        <w:widowControl/>
        <w:jc w:val="both"/>
        <w:textAlignment w:val="top"/>
        <w:rPr>
          <w:rFonts w:hint="eastAsia" w:eastAsia="仿宋" w:cs="Times New Roman"/>
          <w:color w:val="auto"/>
          <w:kern w:val="0"/>
          <w:sz w:val="21"/>
          <w:szCs w:val="21"/>
          <w:highlight w:val="none"/>
          <w:lang w:eastAsia="zh-CN" w:bidi="ar"/>
        </w:rPr>
      </w:pPr>
      <w:r>
        <w:rPr>
          <w:rFonts w:hint="eastAsia" w:eastAsia="仿宋" w:cs="Times New Roman"/>
          <w:color w:val="auto"/>
          <w:kern w:val="0"/>
          <w:sz w:val="21"/>
          <w:szCs w:val="21"/>
          <w:highlight w:val="none"/>
          <w:lang w:val="en-US" w:eastAsia="zh-CN" w:bidi="ar"/>
        </w:rPr>
        <w:t>2</w:t>
      </w:r>
      <w:r>
        <w:rPr>
          <w:rFonts w:eastAsia="仿宋" w:cs="Times New Roman"/>
          <w:color w:val="auto"/>
          <w:kern w:val="0"/>
          <w:sz w:val="21"/>
          <w:szCs w:val="21"/>
          <w:highlight w:val="none"/>
          <w:lang w:bidi="ar"/>
        </w:rPr>
        <w:t>.论文计分原则：</w:t>
      </w:r>
    </w:p>
    <w:p w14:paraId="39029937">
      <w:pPr>
        <w:widowControl/>
        <w:jc w:val="both"/>
        <w:textAlignment w:val="top"/>
        <w:rPr>
          <w:rFonts w:hint="eastAsia" w:eastAsia="仿宋" w:cs="Times New Roman"/>
          <w:color w:val="auto"/>
          <w:kern w:val="0"/>
          <w:sz w:val="21"/>
          <w:szCs w:val="21"/>
          <w:highlight w:val="none"/>
          <w:lang w:eastAsia="zh-CN" w:bidi="ar"/>
        </w:rPr>
      </w:pPr>
      <w:r>
        <w:rPr>
          <w:rFonts w:eastAsia="仿宋" w:cs="Times New Roman"/>
          <w:color w:val="auto"/>
          <w:kern w:val="0"/>
          <w:sz w:val="21"/>
          <w:szCs w:val="21"/>
          <w:highlight w:val="none"/>
          <w:lang w:bidi="ar"/>
        </w:rPr>
        <w:t>（1）论文须为学术论文，书评、短讯、评论短文、修订短文、插图、插画等不在计分范围，人文社科类学生发表在外文期刊上的论文须附中文全文翻译；报纸类发表的文章须为理论文章（须附报纸原件），发表在副刊上的评论性文章和札记不在计分范围；发表的论文若被《新华文摘》《人大复印资料》全文转载，转载前已用于上一轮申报并获得奖励，则本次申报须扣除上次享受分值;若成果具备多重性质，以最高分计，不累计。</w:t>
      </w:r>
    </w:p>
    <w:p w14:paraId="1229C452">
      <w:pPr>
        <w:widowControl/>
        <w:jc w:val="both"/>
        <w:textAlignment w:val="top"/>
        <w:rPr>
          <w:rFonts w:hint="eastAsia" w:eastAsia="仿宋" w:cs="Times New Roman"/>
          <w:color w:val="auto"/>
          <w:kern w:val="0"/>
          <w:sz w:val="21"/>
          <w:szCs w:val="21"/>
          <w:highlight w:val="none"/>
          <w:lang w:eastAsia="zh-CN" w:bidi="ar"/>
        </w:rPr>
      </w:pPr>
      <w:r>
        <w:rPr>
          <w:rFonts w:eastAsia="仿宋" w:cs="Times New Roman"/>
          <w:color w:val="auto"/>
          <w:kern w:val="0"/>
          <w:sz w:val="21"/>
          <w:szCs w:val="21"/>
          <w:highlight w:val="none"/>
          <w:lang w:bidi="ar"/>
        </w:rPr>
        <w:t>（2）学术论文均须以申请人为第一作者，人文社科类可导师为第一作者，学生第二作者，以贵州大学为第一署名单位</w:t>
      </w:r>
      <w:r>
        <w:rPr>
          <w:rFonts w:hint="eastAsia" w:eastAsia="仿宋" w:cs="Times New Roman"/>
          <w:color w:val="auto"/>
          <w:kern w:val="0"/>
          <w:sz w:val="21"/>
          <w:szCs w:val="21"/>
          <w:highlight w:val="none"/>
          <w:lang w:eastAsia="zh-CN" w:bidi="ar"/>
        </w:rPr>
        <w:t>；</w:t>
      </w:r>
      <w:r>
        <w:rPr>
          <w:rFonts w:hint="eastAsia" w:eastAsia="仿宋" w:cs="Times New Roman"/>
          <w:color w:val="auto"/>
          <w:kern w:val="0"/>
          <w:sz w:val="21"/>
          <w:szCs w:val="21"/>
          <w:highlight w:val="none"/>
          <w:lang w:bidi="ar"/>
        </w:rPr>
        <w:t>发表在</w:t>
      </w:r>
      <w:r>
        <w:rPr>
          <w:rFonts w:hint="eastAsia" w:eastAsia="仿宋" w:cs="Times New Roman"/>
          <w:color w:val="auto"/>
          <w:kern w:val="0"/>
          <w:sz w:val="21"/>
          <w:szCs w:val="21"/>
          <w:highlight w:val="none"/>
          <w:lang w:val="en-US" w:eastAsia="zh-CN" w:bidi="ar"/>
        </w:rPr>
        <w:t>B27</w:t>
      </w:r>
      <w:r>
        <w:rPr>
          <w:rFonts w:hint="eastAsia" w:eastAsia="仿宋" w:cs="Times New Roman"/>
          <w:color w:val="auto"/>
          <w:kern w:val="0"/>
          <w:sz w:val="21"/>
          <w:szCs w:val="21"/>
          <w:highlight w:val="none"/>
          <w:lang w:bidi="ar"/>
        </w:rPr>
        <w:t>学报类学术期刊及以上档次期刊证明研究生为通讯作者</w:t>
      </w:r>
      <w:r>
        <w:rPr>
          <w:rFonts w:hint="eastAsia" w:eastAsia="仿宋" w:cs="Times New Roman"/>
          <w:color w:val="auto"/>
          <w:kern w:val="0"/>
          <w:sz w:val="21"/>
          <w:szCs w:val="21"/>
          <w:highlight w:val="none"/>
          <w:lang w:eastAsia="zh-CN" w:bidi="ar"/>
        </w:rPr>
        <w:t>。（</w:t>
      </w:r>
      <w:r>
        <w:rPr>
          <w:rFonts w:hint="eastAsia" w:eastAsia="仿宋" w:cs="Times New Roman"/>
          <w:color w:val="auto"/>
          <w:kern w:val="0"/>
          <w:sz w:val="21"/>
          <w:szCs w:val="21"/>
          <w:highlight w:val="none"/>
          <w:lang w:val="en-US" w:eastAsia="zh-CN" w:bidi="ar"/>
        </w:rPr>
        <w:t>当学生为CSSCI来源期刊（含集刊、C扩、收录期刊等C刊序列）以上刊物学术论文的第三作者时，按照一篇SCD相应分值加分</w:t>
      </w:r>
      <w:r>
        <w:rPr>
          <w:rFonts w:hint="eastAsia" w:eastAsia="仿宋" w:cs="Times New Roman"/>
          <w:color w:val="auto"/>
          <w:kern w:val="0"/>
          <w:sz w:val="21"/>
          <w:szCs w:val="21"/>
          <w:highlight w:val="none"/>
          <w:lang w:eastAsia="zh-CN" w:bidi="ar"/>
        </w:rPr>
        <w:t>）</w:t>
      </w:r>
    </w:p>
    <w:p w14:paraId="54327AA5">
      <w:pPr>
        <w:widowControl/>
        <w:numPr>
          <w:ilvl w:val="0"/>
          <w:numId w:val="0"/>
        </w:numPr>
        <w:jc w:val="both"/>
        <w:textAlignment w:val="top"/>
        <w:rPr>
          <w:rFonts w:eastAsia="仿宋" w:cs="Times New Roman"/>
          <w:color w:val="auto"/>
          <w:kern w:val="0"/>
          <w:sz w:val="21"/>
          <w:szCs w:val="21"/>
          <w:highlight w:val="none"/>
          <w:lang w:bidi="ar"/>
        </w:rPr>
      </w:pPr>
      <w:r>
        <w:rPr>
          <w:rFonts w:eastAsia="仿宋" w:cs="Times New Roman"/>
          <w:color w:val="auto"/>
          <w:kern w:val="0"/>
          <w:sz w:val="21"/>
          <w:szCs w:val="21"/>
          <w:highlight w:val="none"/>
          <w:lang w:bidi="ar"/>
        </w:rPr>
        <w:t>（</w:t>
      </w:r>
      <w:r>
        <w:rPr>
          <w:rFonts w:hint="eastAsia" w:eastAsia="仿宋" w:cs="Times New Roman"/>
          <w:color w:val="auto"/>
          <w:kern w:val="0"/>
          <w:sz w:val="21"/>
          <w:szCs w:val="21"/>
          <w:highlight w:val="none"/>
          <w:lang w:val="en-US" w:eastAsia="zh-CN" w:bidi="ar"/>
        </w:rPr>
        <w:t>3</w:t>
      </w:r>
      <w:r>
        <w:rPr>
          <w:rFonts w:eastAsia="仿宋" w:cs="Times New Roman"/>
          <w:color w:val="auto"/>
          <w:kern w:val="0"/>
          <w:sz w:val="21"/>
          <w:szCs w:val="21"/>
          <w:highlight w:val="none"/>
          <w:lang w:bidi="ar"/>
        </w:rPr>
        <w:t>）SCI分区指以文章在线时间所在年份相应的中科院SCI期刊大类分区（最新升级版），同时被SSCI及SCI收录的期刊，按相应SCI分区认定；</w:t>
      </w:r>
      <w:r>
        <w:rPr>
          <w:rFonts w:eastAsia="仿宋" w:cs="Times New Roman"/>
          <w:color w:val="auto"/>
          <w:kern w:val="0"/>
          <w:sz w:val="21"/>
          <w:szCs w:val="21"/>
          <w:highlight w:val="none"/>
          <w:lang w:bidi="ar"/>
        </w:rPr>
        <w:br w:type="textWrapping"/>
      </w:r>
      <w:r>
        <w:rPr>
          <w:rFonts w:eastAsia="仿宋" w:cs="Times New Roman"/>
          <w:color w:val="auto"/>
          <w:kern w:val="0"/>
          <w:sz w:val="21"/>
          <w:szCs w:val="21"/>
          <w:highlight w:val="none"/>
          <w:lang w:bidi="ar"/>
        </w:rPr>
        <w:t>（4）CSSCI来源期刊指最新版CSSCI期刊目录期刊；人文社科顶级期刊参照校人文社科处学术期刊分类，一级学报为贵州大学研究生院制订的权威期刊</w:t>
      </w:r>
      <w:r>
        <w:rPr>
          <w:rFonts w:hint="eastAsia" w:eastAsia="仿宋" w:cs="Times New Roman"/>
          <w:color w:val="auto"/>
          <w:kern w:val="0"/>
          <w:sz w:val="21"/>
          <w:szCs w:val="21"/>
          <w:highlight w:val="none"/>
          <w:lang w:eastAsia="zh-CN" w:bidi="ar"/>
        </w:rPr>
        <w:t>；</w:t>
      </w:r>
      <w:r>
        <w:rPr>
          <w:rFonts w:hint="eastAsia" w:eastAsia="仿宋" w:cs="Times New Roman"/>
          <w:color w:val="auto"/>
          <w:kern w:val="0"/>
          <w:sz w:val="21"/>
          <w:szCs w:val="21"/>
          <w:highlight w:val="none"/>
          <w:lang w:bidi="ar"/>
        </w:rPr>
        <w:t>核心期刊的认定以论文发表当年《北大中文核心期刊要目总览》和CSSCI官方公布期刊为准，SCD认定以论文发表当年公布的SCD期刊目录为准，所有的杂志增刊、专刊不列入学术期刊；是否学术类期刊由学院学术委员会认定</w:t>
      </w:r>
      <w:r>
        <w:rPr>
          <w:rFonts w:hint="eastAsia" w:eastAsia="仿宋" w:cs="Times New Roman"/>
          <w:color w:val="auto"/>
          <w:kern w:val="0"/>
          <w:sz w:val="21"/>
          <w:szCs w:val="21"/>
          <w:highlight w:val="none"/>
          <w:lang w:eastAsia="zh-CN" w:bidi="ar"/>
        </w:rPr>
        <w:t>。</w:t>
      </w:r>
      <w:r>
        <w:rPr>
          <w:rFonts w:eastAsia="仿宋" w:cs="Times New Roman"/>
          <w:color w:val="auto"/>
          <w:kern w:val="0"/>
          <w:sz w:val="21"/>
          <w:szCs w:val="21"/>
          <w:highlight w:val="none"/>
          <w:lang w:bidi="ar"/>
        </w:rPr>
        <w:br w:type="textWrapping"/>
      </w:r>
      <w:r>
        <w:rPr>
          <w:rFonts w:eastAsia="仿宋" w:cs="Times New Roman"/>
          <w:color w:val="auto"/>
          <w:kern w:val="0"/>
          <w:sz w:val="21"/>
          <w:szCs w:val="21"/>
          <w:highlight w:val="none"/>
          <w:lang w:bidi="ar"/>
        </w:rPr>
        <w:t>（5）观察期（预警后36个月）内中科院《国际期刊预警名单（试行）》名单期刊、三大出版社（Frontiers、MDPI和Hindawi）期刊上发表的论文，不予计分。</w:t>
      </w:r>
    </w:p>
    <w:p w14:paraId="0FE6383E">
      <w:pPr>
        <w:widowControl/>
        <w:numPr>
          <w:ilvl w:val="0"/>
          <w:numId w:val="0"/>
        </w:numPr>
        <w:jc w:val="both"/>
        <w:textAlignment w:val="top"/>
        <w:rPr>
          <w:rFonts w:eastAsia="仿宋" w:cs="Times New Roman"/>
          <w:color w:val="auto"/>
          <w:kern w:val="0"/>
          <w:sz w:val="21"/>
          <w:szCs w:val="21"/>
          <w:highlight w:val="none"/>
          <w:lang w:bidi="ar"/>
        </w:rPr>
      </w:pPr>
      <w:r>
        <w:rPr>
          <w:rFonts w:hint="eastAsia" w:eastAsia="仿宋" w:cs="Times New Roman"/>
          <w:color w:val="auto"/>
          <w:kern w:val="0"/>
          <w:sz w:val="21"/>
          <w:szCs w:val="21"/>
          <w:highlight w:val="none"/>
          <w:lang w:val="en-US" w:eastAsia="zh-CN" w:bidi="ar"/>
        </w:rPr>
        <w:t>（6）B27、B28、B29档的</w:t>
      </w:r>
      <w:r>
        <w:rPr>
          <w:rFonts w:hint="eastAsia" w:eastAsia="仿宋" w:cs="Times New Roman"/>
          <w:color w:val="auto"/>
          <w:kern w:val="0"/>
          <w:sz w:val="21"/>
          <w:szCs w:val="21"/>
          <w:highlight w:val="none"/>
          <w:lang w:bidi="ar"/>
        </w:rPr>
        <w:t>论文总共最多累计两篇；</w:t>
      </w:r>
    </w:p>
    <w:p w14:paraId="39A62DE0">
      <w:pPr>
        <w:widowControl/>
        <w:numPr>
          <w:ilvl w:val="0"/>
          <w:numId w:val="0"/>
        </w:numPr>
        <w:jc w:val="both"/>
        <w:textAlignment w:val="top"/>
        <w:rPr>
          <w:rFonts w:hint="eastAsia" w:eastAsia="仿宋" w:cs="Times New Roman"/>
          <w:color w:val="auto"/>
          <w:kern w:val="0"/>
          <w:sz w:val="21"/>
          <w:szCs w:val="21"/>
          <w:highlight w:val="none"/>
          <w:lang w:bidi="ar"/>
        </w:rPr>
      </w:pPr>
      <w:r>
        <w:rPr>
          <w:rFonts w:hint="eastAsia" w:eastAsia="仿宋" w:cs="Times New Roman"/>
          <w:color w:val="auto"/>
          <w:kern w:val="0"/>
          <w:sz w:val="21"/>
          <w:szCs w:val="21"/>
          <w:highlight w:val="none"/>
          <w:lang w:eastAsia="zh-CN" w:bidi="ar"/>
        </w:rPr>
        <w:t>（</w:t>
      </w:r>
      <w:r>
        <w:rPr>
          <w:rFonts w:hint="eastAsia" w:eastAsia="仿宋" w:cs="Times New Roman"/>
          <w:color w:val="auto"/>
          <w:kern w:val="0"/>
          <w:sz w:val="21"/>
          <w:szCs w:val="21"/>
          <w:highlight w:val="none"/>
          <w:lang w:val="en-US" w:eastAsia="zh-CN" w:bidi="ar"/>
        </w:rPr>
        <w:t>7</w:t>
      </w:r>
      <w:r>
        <w:rPr>
          <w:rFonts w:hint="eastAsia" w:eastAsia="仿宋" w:cs="Times New Roman"/>
          <w:color w:val="auto"/>
          <w:kern w:val="0"/>
          <w:sz w:val="21"/>
          <w:szCs w:val="21"/>
          <w:highlight w:val="none"/>
          <w:lang w:eastAsia="zh-CN" w:bidi="ar"/>
        </w:rPr>
        <w:t>）</w:t>
      </w:r>
      <w:r>
        <w:rPr>
          <w:rFonts w:hint="eastAsia" w:eastAsia="仿宋" w:cs="Times New Roman"/>
          <w:color w:val="auto"/>
          <w:kern w:val="0"/>
          <w:sz w:val="21"/>
          <w:szCs w:val="21"/>
          <w:highlight w:val="none"/>
          <w:lang w:bidi="ar"/>
        </w:rPr>
        <w:t>参与编著的，主编（非排名第1）、副主编直接视为参编，编委成员只有在著作里注明分工，才能折算分数。</w:t>
      </w:r>
    </w:p>
    <w:p w14:paraId="656EA491">
      <w:pPr>
        <w:widowControl/>
        <w:numPr>
          <w:ilvl w:val="0"/>
          <w:numId w:val="0"/>
        </w:numPr>
        <w:jc w:val="both"/>
        <w:textAlignment w:val="top"/>
        <w:rPr>
          <w:rFonts w:hint="eastAsia" w:eastAsia="仿宋" w:cs="Times New Roman"/>
          <w:color w:val="auto"/>
          <w:kern w:val="0"/>
          <w:sz w:val="21"/>
          <w:szCs w:val="21"/>
          <w:highlight w:val="none"/>
          <w:lang w:bidi="ar"/>
        </w:rPr>
      </w:pPr>
      <w:r>
        <w:rPr>
          <w:rFonts w:hint="eastAsia" w:eastAsia="仿宋" w:cs="Times New Roman"/>
          <w:color w:val="auto"/>
          <w:kern w:val="0"/>
          <w:sz w:val="21"/>
          <w:szCs w:val="21"/>
          <w:highlight w:val="none"/>
          <w:lang w:eastAsia="zh-CN" w:bidi="ar"/>
        </w:rPr>
        <w:t>（</w:t>
      </w:r>
      <w:r>
        <w:rPr>
          <w:rFonts w:hint="eastAsia" w:eastAsia="仿宋" w:cs="Times New Roman"/>
          <w:color w:val="auto"/>
          <w:kern w:val="0"/>
          <w:sz w:val="21"/>
          <w:szCs w:val="21"/>
          <w:highlight w:val="none"/>
          <w:lang w:val="en-US" w:eastAsia="zh-CN" w:bidi="ar"/>
        </w:rPr>
        <w:t>8</w:t>
      </w:r>
      <w:r>
        <w:rPr>
          <w:rFonts w:hint="eastAsia" w:eastAsia="仿宋" w:cs="Times New Roman"/>
          <w:color w:val="auto"/>
          <w:kern w:val="0"/>
          <w:sz w:val="21"/>
          <w:szCs w:val="21"/>
          <w:highlight w:val="none"/>
          <w:lang w:eastAsia="zh-CN" w:bidi="ar"/>
        </w:rPr>
        <w:t>）</w:t>
      </w:r>
      <w:r>
        <w:rPr>
          <w:rFonts w:hint="eastAsia" w:eastAsia="仿宋" w:cs="Times New Roman"/>
          <w:color w:val="auto"/>
          <w:kern w:val="0"/>
          <w:sz w:val="21"/>
          <w:szCs w:val="21"/>
          <w:highlight w:val="none"/>
          <w:lang w:bidi="ar"/>
        </w:rPr>
        <w:t>发表论文必须见刊，用稿通知一律不算；</w:t>
      </w:r>
    </w:p>
    <w:p w14:paraId="1C77E85F">
      <w:pPr>
        <w:widowControl/>
        <w:spacing w:line="240" w:lineRule="auto"/>
        <w:jc w:val="both"/>
        <w:textAlignment w:val="top"/>
        <w:rPr>
          <w:rFonts w:hint="eastAsia" w:eastAsia="仿宋" w:cs="Times New Roman"/>
          <w:color w:val="auto"/>
          <w:kern w:val="0"/>
          <w:sz w:val="21"/>
          <w:szCs w:val="21"/>
          <w:highlight w:val="none"/>
          <w:lang w:eastAsia="zh-CN" w:bidi="ar"/>
        </w:rPr>
      </w:pPr>
      <w:r>
        <w:rPr>
          <w:rFonts w:hint="eastAsia" w:eastAsia="仿宋" w:cs="Times New Roman"/>
          <w:color w:val="auto"/>
          <w:kern w:val="0"/>
          <w:sz w:val="21"/>
          <w:szCs w:val="21"/>
          <w:highlight w:val="none"/>
          <w:lang w:val="en-US" w:eastAsia="zh-CN" w:bidi="ar"/>
        </w:rPr>
        <w:t>3</w:t>
      </w:r>
      <w:r>
        <w:rPr>
          <w:rFonts w:hint="eastAsia" w:eastAsia="仿宋" w:cs="Times New Roman"/>
          <w:color w:val="auto"/>
          <w:kern w:val="0"/>
          <w:sz w:val="21"/>
          <w:szCs w:val="21"/>
          <w:highlight w:val="none"/>
          <w:lang w:bidi="ar"/>
        </w:rPr>
        <w:t>.B智育中所取得成果认定会根据学校相关部门科研评价政策的变化而相应调整。</w:t>
      </w:r>
    </w:p>
    <w:p w14:paraId="7D1FFE7A">
      <w:pPr>
        <w:widowControl/>
        <w:spacing w:line="240" w:lineRule="auto"/>
        <w:jc w:val="both"/>
        <w:textAlignment w:val="top"/>
        <w:rPr>
          <w:rFonts w:hint="eastAsia" w:eastAsia="仿宋" w:cs="Times New Roman"/>
          <w:color w:val="auto"/>
          <w:kern w:val="0"/>
          <w:sz w:val="21"/>
          <w:szCs w:val="21"/>
          <w:highlight w:val="none"/>
          <w:lang w:val="en-US" w:eastAsia="zh-CN" w:bidi="ar"/>
        </w:rPr>
      </w:pPr>
      <w:r>
        <w:rPr>
          <w:rFonts w:hint="eastAsia" w:eastAsia="仿宋" w:cs="Times New Roman"/>
          <w:color w:val="auto"/>
          <w:kern w:val="0"/>
          <w:sz w:val="21"/>
          <w:szCs w:val="21"/>
          <w:highlight w:val="none"/>
          <w:lang w:val="en-US" w:eastAsia="zh-CN" w:bidi="ar"/>
        </w:rPr>
        <w:t>4</w:t>
      </w:r>
      <w:r>
        <w:rPr>
          <w:rFonts w:hint="eastAsia" w:eastAsia="仿宋" w:cs="Times New Roman"/>
          <w:color w:val="auto"/>
          <w:kern w:val="0"/>
          <w:sz w:val="21"/>
          <w:szCs w:val="21"/>
          <w:highlight w:val="none"/>
          <w:lang w:bidi="ar"/>
        </w:rPr>
        <w:t>.所有成果，须以贵州大学为第一署名单位。</w:t>
      </w:r>
    </w:p>
    <w:p w14:paraId="4821729E">
      <w:pPr>
        <w:widowControl/>
        <w:spacing w:line="240" w:lineRule="auto"/>
        <w:jc w:val="both"/>
        <w:textAlignment w:val="top"/>
        <w:rPr>
          <w:rFonts w:eastAsia="仿宋" w:cs="Times New Roman"/>
          <w:color w:val="auto"/>
          <w:kern w:val="0"/>
          <w:sz w:val="21"/>
          <w:szCs w:val="21"/>
          <w:highlight w:val="none"/>
          <w:lang w:bidi="ar"/>
        </w:rPr>
      </w:pPr>
      <w:r>
        <w:rPr>
          <w:rFonts w:hint="eastAsia" w:eastAsia="仿宋" w:cs="Times New Roman"/>
          <w:color w:val="auto"/>
          <w:kern w:val="0"/>
          <w:sz w:val="21"/>
          <w:szCs w:val="21"/>
          <w:highlight w:val="none"/>
          <w:lang w:val="en-US" w:eastAsia="zh-CN" w:bidi="ar"/>
        </w:rPr>
        <w:t>5</w:t>
      </w:r>
      <w:r>
        <w:rPr>
          <w:rFonts w:hint="eastAsia" w:eastAsia="仿宋" w:cs="Times New Roman"/>
          <w:color w:val="auto"/>
          <w:kern w:val="0"/>
          <w:sz w:val="21"/>
          <w:szCs w:val="21"/>
          <w:highlight w:val="none"/>
          <w:lang w:bidi="ar"/>
        </w:rPr>
        <w:t>.本细则及各培养单位细则由研究生管理工作处、研究生院、</w:t>
      </w:r>
      <w:r>
        <w:rPr>
          <w:rFonts w:hint="eastAsia" w:eastAsia="仿宋" w:cs="Times New Roman"/>
          <w:color w:val="auto"/>
          <w:kern w:val="0"/>
          <w:sz w:val="21"/>
          <w:szCs w:val="21"/>
          <w:highlight w:val="none"/>
          <w:lang w:val="en-US" w:eastAsia="zh-CN" w:bidi="ar"/>
        </w:rPr>
        <w:t>学院</w:t>
      </w:r>
      <w:r>
        <w:rPr>
          <w:rFonts w:hint="eastAsia" w:eastAsia="仿宋" w:cs="Times New Roman"/>
          <w:color w:val="auto"/>
          <w:kern w:val="0"/>
          <w:sz w:val="21"/>
          <w:szCs w:val="21"/>
          <w:highlight w:val="none"/>
          <w:lang w:bidi="ar"/>
        </w:rPr>
        <w:t>负责解释。</w:t>
      </w:r>
    </w:p>
    <w:p w14:paraId="4283BFC9">
      <w:pPr>
        <w:spacing w:line="560" w:lineRule="exact"/>
        <w:jc w:val="left"/>
        <w:rPr>
          <w:rFonts w:eastAsia="黑体" w:cs="Times New Roman"/>
          <w:color w:val="auto"/>
          <w:szCs w:val="32"/>
          <w:highlight w:val="none"/>
        </w:rPr>
      </w:pPr>
      <w:r>
        <w:rPr>
          <w:rFonts w:eastAsia="黑体" w:cs="Times New Roman"/>
          <w:color w:val="auto"/>
          <w:szCs w:val="32"/>
          <w:highlight w:val="none"/>
        </w:rPr>
        <w:t>附件2</w:t>
      </w:r>
    </w:p>
    <w:p w14:paraId="28286A2C">
      <w:pPr>
        <w:spacing w:line="560" w:lineRule="exact"/>
        <w:jc w:val="center"/>
        <w:rPr>
          <w:rFonts w:eastAsia="方正小标宋简体" w:cs="Times New Roman"/>
          <w:color w:val="auto"/>
          <w:sz w:val="44"/>
          <w:szCs w:val="32"/>
          <w:highlight w:val="none"/>
        </w:rPr>
      </w:pPr>
      <w:r>
        <w:rPr>
          <w:rFonts w:eastAsia="方正小标宋简体" w:cs="Times New Roman"/>
          <w:color w:val="auto"/>
          <w:sz w:val="44"/>
          <w:szCs w:val="32"/>
          <w:highlight w:val="none"/>
        </w:rPr>
        <w:t>贵州大学</w:t>
      </w:r>
      <w:r>
        <w:rPr>
          <w:rFonts w:hint="eastAsia" w:eastAsia="方正小标宋简体" w:cs="Times New Roman"/>
          <w:color w:val="auto"/>
          <w:sz w:val="44"/>
          <w:szCs w:val="32"/>
          <w:highlight w:val="none"/>
          <w:lang w:val="en-US" w:eastAsia="zh-CN"/>
        </w:rPr>
        <w:t>公共管理学院</w:t>
      </w:r>
      <w:r>
        <w:rPr>
          <w:rFonts w:eastAsia="方正小标宋简体" w:cs="Times New Roman"/>
          <w:color w:val="auto"/>
          <w:sz w:val="44"/>
          <w:szCs w:val="32"/>
          <w:highlight w:val="none"/>
        </w:rPr>
        <w:t>研究生奖学金量化评分细则（单项奖学金）</w:t>
      </w:r>
    </w:p>
    <w:p w14:paraId="5CE8FFDC">
      <w:pPr>
        <w:rPr>
          <w:rFonts w:cs="Times New Roman"/>
          <w:color w:val="auto"/>
          <w:highlight w:val="none"/>
        </w:rPr>
        <w:sectPr>
          <w:type w:val="continuous"/>
          <w:pgSz w:w="16838" w:h="11906" w:orient="landscape"/>
          <w:pgMar w:top="720" w:right="720" w:bottom="720" w:left="720" w:header="851" w:footer="992" w:gutter="0"/>
          <w:pgNumType w:fmt="numberInDash"/>
          <w:cols w:space="720" w:num="1"/>
          <w:docGrid w:type="lines" w:linePitch="435" w:charSpace="0"/>
        </w:sectPr>
      </w:pPr>
    </w:p>
    <w:tbl>
      <w:tblPr>
        <w:tblStyle w:val="6"/>
        <w:tblW w:w="15160" w:type="dxa"/>
        <w:tblInd w:w="-4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7"/>
        <w:gridCol w:w="1293"/>
        <w:gridCol w:w="1286"/>
        <w:gridCol w:w="1481"/>
        <w:gridCol w:w="3092"/>
        <w:gridCol w:w="4245"/>
        <w:gridCol w:w="2256"/>
      </w:tblGrid>
      <w:tr w14:paraId="18F7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FAC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类别</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7C3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奖励标准</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EF7A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项目代码及内容</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147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具体内容</w:t>
            </w:r>
          </w:p>
        </w:tc>
        <w:tc>
          <w:tcPr>
            <w:tcW w:w="4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483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评分标准</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C9B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支撑材料要求</w:t>
            </w:r>
          </w:p>
        </w:tc>
      </w:tr>
      <w:tr w14:paraId="7C84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E55D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A践行习近平新时代中国特色社会主义思想</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00A5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3000元/人</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90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A1主题宣讲</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BC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践行习近平新时代中国特色社会主义思想，积极开展主题鲜明、联系实际的宣讲活动，宣讲次数3次及以上，覆盖学生不少于300人，并取得良好的宣传效果。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208F">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国家级50，省部级40，市厅级30，校级20，院级10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注：以上同一项活动，按主题宣讲最高级别加分，不累计加分。</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2A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以开展宣讲的宣传报道原件或网络媒体完整截图为支撑材料。</w:t>
            </w:r>
          </w:p>
        </w:tc>
      </w:tr>
      <w:tr w14:paraId="20E4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25C6F">
            <w:pPr>
              <w:jc w:val="center"/>
              <w:rPr>
                <w:rFonts w:hint="eastAsia" w:ascii="宋体" w:hAnsi="宋体" w:eastAsia="宋体" w:cs="宋体"/>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6E99">
            <w:pPr>
              <w:jc w:val="center"/>
              <w:rPr>
                <w:rFonts w:hint="eastAsia" w:ascii="宋体" w:hAnsi="宋体" w:eastAsia="宋体" w:cs="宋体"/>
                <w:b/>
                <w:bCs/>
                <w:i w:val="0"/>
                <w:iCs w:val="0"/>
                <w:color w:val="auto"/>
                <w:sz w:val="22"/>
                <w:szCs w:val="22"/>
                <w:highlight w:val="none"/>
                <w:u w:val="none"/>
              </w:rPr>
            </w:pP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B9B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A2发表文章</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79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研习习近平新时代中国特色社会主义思想，并在各大报刊、网络媒介以第一作者发表宣扬正能量的文章3篇及以上。</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D346">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国家级50，省部级40，市厅级30，校级20，院级10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注：以上同一项活动，按发表文章影响力最大的媒介加分，不累计加分。</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2B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以纸质报刊原件和网络媒体完整截图为支撑材料。</w:t>
            </w:r>
          </w:p>
        </w:tc>
      </w:tr>
      <w:tr w14:paraId="0A10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E0387">
            <w:pPr>
              <w:jc w:val="center"/>
              <w:rPr>
                <w:rFonts w:hint="eastAsia" w:ascii="宋体" w:hAnsi="宋体" w:eastAsia="宋体" w:cs="宋体"/>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C018">
            <w:pPr>
              <w:jc w:val="center"/>
              <w:rPr>
                <w:rFonts w:hint="eastAsia" w:ascii="宋体" w:hAnsi="宋体" w:eastAsia="宋体" w:cs="宋体"/>
                <w:b/>
                <w:bCs/>
                <w:i w:val="0"/>
                <w:iCs w:val="0"/>
                <w:color w:val="auto"/>
                <w:sz w:val="22"/>
                <w:szCs w:val="22"/>
                <w:highlight w:val="none"/>
                <w:u w:val="none"/>
              </w:rPr>
            </w:pP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178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A3参加活动</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36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积极参与立足新时代，践行新思想活动，在活动中承担主要任务，为学校及培养单位带来良好社会评价。</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3ABB">
            <w:pPr>
              <w:keepNext w:val="0"/>
              <w:keepLines w:val="0"/>
              <w:widowControl/>
              <w:suppressLineNumbers w:val="0"/>
              <w:spacing w:after="220" w:afterAutospacing="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国家级</w:t>
            </w:r>
            <w:r>
              <w:rPr>
                <w:rFonts w:hint="eastAsia" w:ascii="宋体" w:hAnsi="宋体" w:eastAsia="宋体" w:cs="宋体"/>
                <w:i w:val="0"/>
                <w:iCs w:val="0"/>
                <w:color w:val="auto"/>
                <w:kern w:val="0"/>
                <w:sz w:val="22"/>
                <w:szCs w:val="22"/>
                <w:highlight w:val="none"/>
                <w:u w:val="none"/>
                <w:lang w:val="en-US" w:eastAsia="zh-CN" w:bidi="ar"/>
              </w:rPr>
              <w:t>（一等奖50分、二等奖47分、三等奖44分、优秀奖41分）；</w:t>
            </w:r>
            <w:r>
              <w:rPr>
                <w:rFonts w:hint="eastAsia" w:ascii="宋体" w:hAnsi="宋体" w:eastAsia="宋体" w:cs="宋体"/>
                <w:b/>
                <w:bCs/>
                <w:i w:val="0"/>
                <w:iCs w:val="0"/>
                <w:color w:val="auto"/>
                <w:kern w:val="0"/>
                <w:sz w:val="22"/>
                <w:szCs w:val="22"/>
                <w:highlight w:val="none"/>
                <w:u w:val="none"/>
                <w:lang w:val="en-US" w:eastAsia="zh-CN" w:bidi="ar"/>
              </w:rPr>
              <w:t>省部级</w:t>
            </w:r>
            <w:r>
              <w:rPr>
                <w:rFonts w:hint="eastAsia" w:ascii="宋体" w:hAnsi="宋体" w:eastAsia="宋体" w:cs="宋体"/>
                <w:i w:val="0"/>
                <w:iCs w:val="0"/>
                <w:color w:val="auto"/>
                <w:kern w:val="0"/>
                <w:sz w:val="22"/>
                <w:szCs w:val="22"/>
                <w:highlight w:val="none"/>
                <w:u w:val="none"/>
                <w:lang w:val="en-US" w:eastAsia="zh-CN" w:bidi="ar"/>
              </w:rPr>
              <w:t>（一等奖40分、二等奖37分、三等奖34分、优秀奖31分）；</w:t>
            </w:r>
            <w:r>
              <w:rPr>
                <w:rFonts w:hint="eastAsia" w:ascii="宋体" w:hAnsi="宋体" w:eastAsia="宋体" w:cs="宋体"/>
                <w:b/>
                <w:bCs/>
                <w:i w:val="0"/>
                <w:iCs w:val="0"/>
                <w:color w:val="auto"/>
                <w:kern w:val="0"/>
                <w:sz w:val="22"/>
                <w:szCs w:val="22"/>
                <w:highlight w:val="none"/>
                <w:u w:val="none"/>
                <w:lang w:val="en-US" w:eastAsia="zh-CN" w:bidi="ar"/>
              </w:rPr>
              <w:t>市厅级</w:t>
            </w:r>
            <w:r>
              <w:rPr>
                <w:rFonts w:hint="eastAsia" w:ascii="宋体" w:hAnsi="宋体" w:eastAsia="宋体" w:cs="宋体"/>
                <w:i w:val="0"/>
                <w:iCs w:val="0"/>
                <w:color w:val="auto"/>
                <w:kern w:val="0"/>
                <w:sz w:val="22"/>
                <w:szCs w:val="22"/>
                <w:highlight w:val="none"/>
                <w:u w:val="none"/>
                <w:lang w:val="en-US" w:eastAsia="zh-CN" w:bidi="ar"/>
              </w:rPr>
              <w:t>（一等奖30分、二等奖27分、三等奖24分、优秀奖21分）；</w:t>
            </w:r>
            <w:r>
              <w:rPr>
                <w:rFonts w:hint="eastAsia" w:ascii="宋体" w:hAnsi="宋体" w:eastAsia="宋体" w:cs="宋体"/>
                <w:b/>
                <w:bCs/>
                <w:i w:val="0"/>
                <w:iCs w:val="0"/>
                <w:color w:val="auto"/>
                <w:kern w:val="0"/>
                <w:sz w:val="22"/>
                <w:szCs w:val="22"/>
                <w:highlight w:val="none"/>
                <w:u w:val="none"/>
                <w:lang w:val="en-US" w:eastAsia="zh-CN" w:bidi="ar"/>
              </w:rPr>
              <w:t>校级</w:t>
            </w:r>
            <w:r>
              <w:rPr>
                <w:rFonts w:hint="eastAsia" w:ascii="宋体" w:hAnsi="宋体" w:eastAsia="宋体" w:cs="宋体"/>
                <w:i w:val="0"/>
                <w:iCs w:val="0"/>
                <w:color w:val="auto"/>
                <w:kern w:val="0"/>
                <w:sz w:val="22"/>
                <w:szCs w:val="22"/>
                <w:highlight w:val="none"/>
                <w:u w:val="none"/>
                <w:lang w:val="en-US" w:eastAsia="zh-CN" w:bidi="ar"/>
              </w:rPr>
              <w:t>（一等奖20分、二等奖17分、三等奖14分、优秀奖11分）；</w:t>
            </w:r>
            <w:r>
              <w:rPr>
                <w:rFonts w:hint="eastAsia" w:ascii="宋体" w:hAnsi="宋体" w:eastAsia="宋体" w:cs="宋体"/>
                <w:b/>
                <w:bCs/>
                <w:i w:val="0"/>
                <w:iCs w:val="0"/>
                <w:color w:val="auto"/>
                <w:kern w:val="0"/>
                <w:sz w:val="22"/>
                <w:szCs w:val="22"/>
                <w:highlight w:val="none"/>
                <w:u w:val="none"/>
                <w:lang w:val="en-US" w:eastAsia="zh-CN" w:bidi="ar"/>
              </w:rPr>
              <w:t>院级</w:t>
            </w:r>
            <w:r>
              <w:rPr>
                <w:rFonts w:hint="eastAsia" w:ascii="宋体" w:hAnsi="宋体" w:eastAsia="宋体" w:cs="宋体"/>
                <w:i w:val="0"/>
                <w:iCs w:val="0"/>
                <w:color w:val="auto"/>
                <w:kern w:val="0"/>
                <w:sz w:val="22"/>
                <w:szCs w:val="22"/>
                <w:highlight w:val="none"/>
                <w:u w:val="none"/>
                <w:lang w:val="en-US" w:eastAsia="zh-CN" w:bidi="ar"/>
              </w:rPr>
              <w:t>（一等奖10分、二等奖6分、三等奖3分、优秀奖1分）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注：以上同一项活动，按最高项加分，不累计加分。个人/团体表彰负责人按全分加、团体表彰其他人减半加。</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17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以获奖证书获表彰文件为支撑材料</w:t>
            </w:r>
          </w:p>
        </w:tc>
      </w:tr>
      <w:tr w14:paraId="66C8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45C9">
            <w:pPr>
              <w:jc w:val="center"/>
              <w:rPr>
                <w:rFonts w:hint="eastAsia" w:ascii="宋体" w:hAnsi="宋体" w:eastAsia="宋体" w:cs="宋体"/>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738A7">
            <w:pPr>
              <w:jc w:val="center"/>
              <w:rPr>
                <w:rFonts w:hint="eastAsia" w:ascii="宋体" w:hAnsi="宋体" w:eastAsia="宋体" w:cs="宋体"/>
                <w:b/>
                <w:bCs/>
                <w:i w:val="0"/>
                <w:iCs w:val="0"/>
                <w:color w:val="auto"/>
                <w:sz w:val="22"/>
                <w:szCs w:val="22"/>
                <w:highlight w:val="none"/>
                <w:u w:val="none"/>
              </w:rPr>
            </w:pP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1F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A4突出事迹</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4E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在助人为乐、见义勇为、诚实守信、孝老爱亲等方面有突出事迹，在研究生群体中有较高认可度。</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1CAA">
            <w:pPr>
              <w:keepNext w:val="0"/>
              <w:keepLines w:val="0"/>
              <w:widowControl/>
              <w:suppressLineNumbers w:val="0"/>
              <w:spacing w:after="22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国家级50，省部级40，市厅级30，校级20，院级10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注：以上同一项事迹，按最高项加分，不累计加分。</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EE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以突出事迹的报道材料、奖励证书证明等为支撑材料</w:t>
            </w:r>
          </w:p>
        </w:tc>
      </w:tr>
      <w:tr w14:paraId="0520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8C36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B服务贵州地方经济社会发展</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24C8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5000元/人</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68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B1组织参与博士工程师”“博士村长”项目</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45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积极参与“博士工程师”“博士村长”项目，组织实践队深入各地开展在产业扶贫、科技服务、人才支持等方面积极行动2次及以上，获得2次及以上各类奖项和相关媒体报道。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E34A">
            <w:pPr>
              <w:keepNext w:val="0"/>
              <w:keepLines w:val="0"/>
              <w:widowControl/>
              <w:suppressLineNumbers w:val="0"/>
              <w:spacing w:after="22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国家级50，省部级40，市厅级30，校级20，院级10</w:t>
            </w:r>
          </w:p>
          <w:p w14:paraId="359B3E66">
            <w:pPr>
              <w:keepNext w:val="0"/>
              <w:keepLines w:val="0"/>
              <w:widowControl/>
              <w:suppressLineNumbers w:val="0"/>
              <w:spacing w:after="22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注：以上同一个项目，按最高项加分，不累计加分。</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E4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以服务单位的奖励证书、相关报道材料等为支撑材料</w:t>
            </w:r>
          </w:p>
        </w:tc>
      </w:tr>
      <w:tr w14:paraId="61CB7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4740">
            <w:pPr>
              <w:jc w:val="center"/>
              <w:rPr>
                <w:rFonts w:hint="eastAsia" w:ascii="宋体" w:hAnsi="宋体" w:eastAsia="宋体" w:cs="宋体"/>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F1D3C">
            <w:pPr>
              <w:jc w:val="center"/>
              <w:rPr>
                <w:rFonts w:hint="eastAsia" w:ascii="宋体" w:hAnsi="宋体" w:eastAsia="宋体" w:cs="宋体"/>
                <w:b/>
                <w:bCs/>
                <w:i w:val="0"/>
                <w:iCs w:val="0"/>
                <w:color w:val="auto"/>
                <w:sz w:val="22"/>
                <w:szCs w:val="22"/>
                <w:highlight w:val="none"/>
                <w:u w:val="none"/>
              </w:rPr>
            </w:pP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58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B2地方贡献</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BD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利用所学的专业知识在服务我省围绕“四新”主攻“四化”主战略中作出突出贡献，其成果实施、技术应用或提出的具体发展措施得到当地政府采纳，对地方经济建设和社会发展推动作用明显，取得特别突出的经济效益或社会效益。</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48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措施的实施推广：50分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基层发展情况研究：40分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提出的具体发展措施：40分</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47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基层发展情况研究应有相关的研究报告或论文证明，提出的具体发展措施、措施的实施推广应提供当地政府或相关部门的证明。</w:t>
            </w:r>
          </w:p>
        </w:tc>
      </w:tr>
      <w:tr w14:paraId="0E26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0" w:hRule="atLeast"/>
        </w:trPr>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E9F0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C社会工作和</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5303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3000元/人</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15B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C1社会工作</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8F4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主要奖励管理能力较强、投入时间多，在社会工作中取得突出成绩，有较高群众基础和群众威信，在学生中起到模范带头作用的各级研究生组织学生骨干。</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219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校级40分（优秀40分、良好35分、合格30分）、院级30分（优秀30分、良好25分，合格20分）、班级20分（优秀20分、良好15分，合格10分）</w:t>
            </w:r>
            <w:r>
              <w:rPr>
                <w:rFonts w:hint="eastAsia" w:ascii="宋体" w:hAnsi="宋体" w:eastAsia="宋体" w:cs="宋体"/>
                <w:i w:val="0"/>
                <w:iCs w:val="0"/>
                <w:color w:val="auto"/>
                <w:kern w:val="0"/>
                <w:sz w:val="22"/>
                <w:szCs w:val="22"/>
                <w:highlight w:val="none"/>
                <w:u w:val="none"/>
                <w:lang w:val="en-US" w:eastAsia="zh-CN" w:bidi="ar"/>
              </w:rPr>
              <w:br w:type="textWrapping"/>
            </w:r>
          </w:p>
          <w:p w14:paraId="39631F2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注：（1）要求任职满一年，不合格不加分。优秀比例不超过30%。</w:t>
            </w:r>
          </w:p>
          <w:p w14:paraId="0B35CC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校级学生干部包括：校级组织的副部长及以上职务的学生干部、宿舍党总支支委及以上职务的党员干部按校级干部评定；院级学生干部包括：院研究生会主席团、部长及副部长；团总支书记及副书记；学院党总支副书记、学院各党支部书记及副书记；年级班长及副班长，校级组织部门干事、宿舍楼层党支部书记。班级学生干部包括：研会干事、党支部其他支委、团支部书记及干事、班级班长、班级学习委员、</w:t>
            </w:r>
            <w:r>
              <w:rPr>
                <w:rFonts w:hint="eastAsia" w:ascii="宋体" w:hAnsi="宋体" w:eastAsia="宋体" w:cs="宋体"/>
                <w:color w:val="auto"/>
                <w:kern w:val="0"/>
                <w:sz w:val="22"/>
                <w:szCs w:val="22"/>
                <w:highlight w:val="none"/>
                <w:u w:val="none"/>
                <w:lang w:eastAsia="zh-CN" w:bidi="ar"/>
              </w:rPr>
              <w:t>班级劳动委员</w:t>
            </w:r>
            <w:r>
              <w:rPr>
                <w:rFonts w:hint="eastAsia" w:ascii="宋体" w:hAnsi="宋体" w:eastAsia="宋体" w:cs="宋体"/>
                <w:i w:val="0"/>
                <w:iCs w:val="0"/>
                <w:color w:val="auto"/>
                <w:kern w:val="0"/>
                <w:sz w:val="22"/>
                <w:szCs w:val="22"/>
                <w:highlight w:val="none"/>
                <w:u w:val="none"/>
                <w:lang w:val="en-US" w:eastAsia="zh-CN" w:bidi="ar"/>
              </w:rPr>
              <w:t>，宿舍楼层党支部其他支委。</w:t>
            </w:r>
            <w:r>
              <w:rPr>
                <w:rFonts w:hint="eastAsia" w:ascii="宋体" w:hAnsi="宋体" w:eastAsia="宋体" w:cs="宋体"/>
                <w:i w:val="0"/>
                <w:iCs w:val="0"/>
                <w:color w:val="auto"/>
                <w:kern w:val="0"/>
                <w:sz w:val="22"/>
                <w:szCs w:val="22"/>
                <w:highlight w:val="none"/>
                <w:u w:val="none"/>
                <w:lang w:val="en-US" w:eastAsia="zh-CN" w:bidi="ar"/>
              </w:rPr>
              <w:br w:type="textWrapping"/>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ED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以聘书或者相关任职文件以及考核结果为支撑材料</w:t>
            </w:r>
          </w:p>
        </w:tc>
      </w:tr>
      <w:tr w14:paraId="3C9B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E8CC">
            <w:pPr>
              <w:jc w:val="center"/>
              <w:rPr>
                <w:rFonts w:hint="eastAsia" w:ascii="宋体" w:hAnsi="宋体" w:eastAsia="宋体" w:cs="宋体"/>
                <w:b/>
                <w:bCs/>
                <w:i w:val="0"/>
                <w:iCs w:val="0"/>
                <w:color w:val="auto"/>
                <w:sz w:val="24"/>
                <w:szCs w:val="24"/>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91E67">
            <w:pPr>
              <w:jc w:val="center"/>
              <w:rPr>
                <w:rFonts w:hint="eastAsia" w:ascii="宋体" w:hAnsi="宋体" w:eastAsia="宋体" w:cs="宋体"/>
                <w:b/>
                <w:bCs/>
                <w:i w:val="0"/>
                <w:iCs w:val="0"/>
                <w:color w:val="auto"/>
                <w:sz w:val="24"/>
                <w:szCs w:val="24"/>
                <w:highlight w:val="none"/>
                <w:u w:val="none"/>
              </w:rPr>
            </w:pP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B3D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C2社会活动</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92E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C21活动获奖</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4A3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积极组织研究生参加健康有益的各类活动，收到较好效果并获得奖项；带头参加由学校、培养单位等组织的各项活动并获得奖项；</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0C4B">
            <w:pPr>
              <w:keepNext w:val="0"/>
              <w:keepLines w:val="0"/>
              <w:widowControl/>
              <w:suppressLineNumbers w:val="0"/>
              <w:spacing w:after="220" w:afterAutospacing="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国家级</w:t>
            </w:r>
            <w:r>
              <w:rPr>
                <w:rFonts w:hint="eastAsia" w:ascii="宋体" w:hAnsi="宋体" w:eastAsia="宋体" w:cs="宋体"/>
                <w:i w:val="0"/>
                <w:iCs w:val="0"/>
                <w:color w:val="auto"/>
                <w:kern w:val="0"/>
                <w:sz w:val="22"/>
                <w:szCs w:val="22"/>
                <w:highlight w:val="none"/>
                <w:u w:val="none"/>
                <w:lang w:val="en-US" w:eastAsia="zh-CN" w:bidi="ar"/>
              </w:rPr>
              <w:t>（一等奖50分、二等奖46分、三等奖42、优秀奖40）、</w:t>
            </w:r>
            <w:r>
              <w:rPr>
                <w:rFonts w:hint="eastAsia" w:ascii="宋体" w:hAnsi="宋体" w:eastAsia="宋体" w:cs="宋体"/>
                <w:b/>
                <w:bCs/>
                <w:i w:val="0"/>
                <w:iCs w:val="0"/>
                <w:color w:val="auto"/>
                <w:kern w:val="0"/>
                <w:sz w:val="22"/>
                <w:szCs w:val="22"/>
                <w:highlight w:val="none"/>
                <w:u w:val="none"/>
                <w:lang w:val="en-US" w:eastAsia="zh-CN" w:bidi="ar"/>
              </w:rPr>
              <w:t>省部级</w:t>
            </w:r>
            <w:r>
              <w:rPr>
                <w:rFonts w:hint="eastAsia" w:ascii="宋体" w:hAnsi="宋体" w:eastAsia="宋体" w:cs="宋体"/>
                <w:i w:val="0"/>
                <w:iCs w:val="0"/>
                <w:color w:val="auto"/>
                <w:kern w:val="0"/>
                <w:sz w:val="22"/>
                <w:szCs w:val="22"/>
                <w:highlight w:val="none"/>
                <w:u w:val="none"/>
                <w:lang w:val="en-US" w:eastAsia="zh-CN" w:bidi="ar"/>
              </w:rPr>
              <w:t>（一等奖40分、二等奖36分、三等奖32、优秀奖30）、</w:t>
            </w:r>
            <w:r>
              <w:rPr>
                <w:rFonts w:hint="eastAsia" w:ascii="宋体" w:hAnsi="宋体" w:eastAsia="宋体" w:cs="宋体"/>
                <w:b/>
                <w:bCs/>
                <w:i w:val="0"/>
                <w:iCs w:val="0"/>
                <w:color w:val="auto"/>
                <w:kern w:val="0"/>
                <w:sz w:val="22"/>
                <w:szCs w:val="22"/>
                <w:highlight w:val="none"/>
                <w:u w:val="none"/>
                <w:lang w:val="en-US" w:eastAsia="zh-CN" w:bidi="ar"/>
              </w:rPr>
              <w:t>市厅级</w:t>
            </w:r>
            <w:r>
              <w:rPr>
                <w:rFonts w:hint="eastAsia" w:ascii="宋体" w:hAnsi="宋体" w:eastAsia="宋体" w:cs="宋体"/>
                <w:i w:val="0"/>
                <w:iCs w:val="0"/>
                <w:color w:val="auto"/>
                <w:kern w:val="0"/>
                <w:sz w:val="22"/>
                <w:szCs w:val="22"/>
                <w:highlight w:val="none"/>
                <w:u w:val="none"/>
                <w:lang w:val="en-US" w:eastAsia="zh-CN" w:bidi="ar"/>
              </w:rPr>
              <w:t>（一等奖30分、二等奖36分、三等奖32、优秀奖30）、</w:t>
            </w:r>
            <w:r>
              <w:rPr>
                <w:rFonts w:hint="eastAsia" w:ascii="宋体" w:hAnsi="宋体" w:eastAsia="宋体" w:cs="宋体"/>
                <w:b/>
                <w:bCs/>
                <w:i w:val="0"/>
                <w:iCs w:val="0"/>
                <w:color w:val="auto"/>
                <w:kern w:val="0"/>
                <w:sz w:val="22"/>
                <w:szCs w:val="22"/>
                <w:highlight w:val="none"/>
                <w:u w:val="none"/>
                <w:lang w:val="en-US" w:eastAsia="zh-CN" w:bidi="ar"/>
              </w:rPr>
              <w:t>校级</w:t>
            </w:r>
            <w:r>
              <w:rPr>
                <w:rFonts w:hint="eastAsia" w:ascii="宋体" w:hAnsi="宋体" w:eastAsia="宋体" w:cs="宋体"/>
                <w:i w:val="0"/>
                <w:iCs w:val="0"/>
                <w:color w:val="auto"/>
                <w:kern w:val="0"/>
                <w:sz w:val="22"/>
                <w:szCs w:val="22"/>
                <w:highlight w:val="none"/>
                <w:u w:val="none"/>
                <w:lang w:val="en-US" w:eastAsia="zh-CN" w:bidi="ar"/>
              </w:rPr>
              <w:t>（一等奖20分、二等奖26分、三等奖22、优秀奖10）、</w:t>
            </w:r>
            <w:r>
              <w:rPr>
                <w:rFonts w:hint="eastAsia" w:ascii="宋体" w:hAnsi="宋体" w:eastAsia="宋体" w:cs="宋体"/>
                <w:b/>
                <w:bCs/>
                <w:i w:val="0"/>
                <w:iCs w:val="0"/>
                <w:color w:val="auto"/>
                <w:kern w:val="0"/>
                <w:sz w:val="22"/>
                <w:szCs w:val="22"/>
                <w:highlight w:val="none"/>
                <w:u w:val="none"/>
                <w:lang w:val="en-US" w:eastAsia="zh-CN" w:bidi="ar"/>
              </w:rPr>
              <w:t>院级</w:t>
            </w:r>
            <w:r>
              <w:rPr>
                <w:rFonts w:hint="eastAsia" w:ascii="宋体" w:hAnsi="宋体" w:eastAsia="宋体" w:cs="宋体"/>
                <w:i w:val="0"/>
                <w:iCs w:val="0"/>
                <w:color w:val="auto"/>
                <w:kern w:val="0"/>
                <w:sz w:val="22"/>
                <w:szCs w:val="22"/>
                <w:highlight w:val="none"/>
                <w:u w:val="none"/>
                <w:lang w:val="en-US" w:eastAsia="zh-CN" w:bidi="ar"/>
              </w:rPr>
              <w:t>（一等奖10分、二等奖6分、三等奖4、优秀奖1分）</w:t>
            </w:r>
          </w:p>
          <w:p w14:paraId="073E3287">
            <w:pPr>
              <w:keepNext w:val="0"/>
              <w:keepLines w:val="0"/>
              <w:widowControl/>
              <w:suppressLineNumbers w:val="0"/>
              <w:spacing w:after="220" w:afterAutospacing="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注：“党建进宿舍”“党建进实验室”举办的活动，面向整个楼栋的按院级核算)；个人/团体表彰负责人加全分、团体表彰其他人减半加分。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注：以上同一项活动，按最高项加分，不累计加分。</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36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以获奖证书获表彰文件为支撑材料</w:t>
            </w:r>
          </w:p>
        </w:tc>
      </w:tr>
      <w:tr w14:paraId="6A8E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09E40">
            <w:pPr>
              <w:jc w:val="center"/>
              <w:rPr>
                <w:rFonts w:hint="eastAsia" w:ascii="宋体" w:hAnsi="宋体" w:eastAsia="宋体" w:cs="宋体"/>
                <w:b/>
                <w:bCs/>
                <w:i w:val="0"/>
                <w:iCs w:val="0"/>
                <w:color w:val="auto"/>
                <w:sz w:val="24"/>
                <w:szCs w:val="24"/>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BB64">
            <w:pPr>
              <w:jc w:val="center"/>
              <w:rPr>
                <w:rFonts w:hint="eastAsia" w:ascii="宋体" w:hAnsi="宋体" w:eastAsia="宋体" w:cs="宋体"/>
                <w:b/>
                <w:bCs/>
                <w:i w:val="0"/>
                <w:iCs w:val="0"/>
                <w:color w:val="auto"/>
                <w:sz w:val="24"/>
                <w:szCs w:val="24"/>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4200">
            <w:pPr>
              <w:jc w:val="center"/>
              <w:rPr>
                <w:rFonts w:hint="eastAsia" w:ascii="宋体" w:hAnsi="宋体" w:eastAsia="宋体" w:cs="宋体"/>
                <w:i w:val="0"/>
                <w:iCs w:val="0"/>
                <w:color w:val="auto"/>
                <w:sz w:val="21"/>
                <w:szCs w:val="21"/>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C0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C22组织活动</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58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组织校级及以上层面活动，活动中积极主动，有良好表现并在其中担任主要负责人者。</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0FB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国家级50分、省部级40分、市厅级30分、校级20分、院级10分。</w:t>
            </w:r>
          </w:p>
          <w:p w14:paraId="2342508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p w14:paraId="6D584426">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注：“党建进宿舍”“党建进实验室”举办的活动，面向整个楼栋的按院级核算，党支部的三会一课不算加分；组织者加全分100%，主要负责人减半加分。以上同一项活动，按最高项加分，不累计加分。</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41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以活动组织单位提供的证明为支撑材料</w:t>
            </w:r>
          </w:p>
        </w:tc>
      </w:tr>
      <w:tr w14:paraId="123D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D993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D创新创业</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E7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3000元/人</w:t>
            </w:r>
          </w:p>
        </w:tc>
        <w:tc>
          <w:tcPr>
            <w:tcW w:w="27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5CC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D1创新创业</w:t>
            </w:r>
          </w:p>
        </w:tc>
        <w:tc>
          <w:tcPr>
            <w:tcW w:w="3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92C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生具有创新创业精神与较强的市场开拓能力和经营管理水平。学生作为法定代表人的创业项目在众创空间内运行良好；创业项目符合国家产业、技术政策，技术含量高，创新性强；能够将所学知识转化为生产力，除导师外学生作为第一负责人的研究生项目产生的专利及其成果转化、授权金额在100万元以上；通过创业带动就业，提供就业岗位50个及以上；产品或服务有较大的市场容量和较强的市场竞争力，有较好的经济效益和社会效益，企业年营业额100万元以上。</w:t>
            </w:r>
          </w:p>
        </w:tc>
        <w:tc>
          <w:tcPr>
            <w:tcW w:w="4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3BC0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创业加分 = 实际效益分值 + 提供就业岗位数分值 + 注册资本分值</w:t>
            </w:r>
            <w:r>
              <w:rPr>
                <w:rFonts w:hint="eastAsia" w:ascii="宋体" w:hAnsi="宋体" w:eastAsia="宋体" w:cs="宋体"/>
                <w:i w:val="0"/>
                <w:iCs w:val="0"/>
                <w:color w:val="auto"/>
                <w:kern w:val="0"/>
                <w:sz w:val="22"/>
                <w:szCs w:val="22"/>
                <w:highlight w:val="none"/>
                <w:u w:val="none"/>
                <w:lang w:val="en-US" w:eastAsia="zh-CN" w:bidi="ar"/>
              </w:rPr>
              <w:br w:type="textWrapping"/>
            </w:r>
          </w:p>
          <w:p w14:paraId="716FEDE4">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p w14:paraId="039D699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按照创业公司的实际效益、提供就业岗位数和注册资本三个部分进行参评，各参评部分各占比重分别为40%、30%和20%。计算方式为以参加申请对象中的最大值缩放到100进行百分比计算。如有3个申请对象，其注册资本分别为A:20万、B:15万和C:10万，则计算方法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A: 200000/2000=100，100×20%=20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B: 150000/2000=75，75×20%=15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C: 100000/2000=50，50×20%=10</w:t>
            </w:r>
            <w:r>
              <w:rPr>
                <w:rFonts w:hint="eastAsia" w:ascii="宋体" w:hAnsi="宋体" w:eastAsia="宋体" w:cs="宋体"/>
                <w:i w:val="0"/>
                <w:iCs w:val="0"/>
                <w:color w:val="auto"/>
                <w:kern w:val="0"/>
                <w:sz w:val="22"/>
                <w:szCs w:val="22"/>
                <w:highlight w:val="none"/>
                <w:u w:val="none"/>
                <w:lang w:val="en-US" w:eastAsia="zh-CN" w:bidi="ar"/>
              </w:rPr>
              <w:br w:type="textWrapping"/>
            </w:r>
          </w:p>
          <w:p w14:paraId="12FD9734">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公司实际效益和提供就业岗位数也按照同样的方法进行计算，分别得出公司实际效益和提供就业岗位数的分值，最终将各部分进行相加得到创业部分的分值。</w:t>
            </w:r>
          </w:p>
        </w:tc>
        <w:tc>
          <w:tcPr>
            <w:tcW w:w="2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B54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以企业营业只是找、经营流水等作为为支撑材料</w:t>
            </w:r>
          </w:p>
        </w:tc>
      </w:tr>
      <w:tr w14:paraId="1B70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50849">
            <w:pPr>
              <w:jc w:val="center"/>
              <w:rPr>
                <w:rFonts w:hint="eastAsia" w:ascii="宋体" w:hAnsi="宋体" w:eastAsia="宋体" w:cs="宋体"/>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3D0AC">
            <w:pPr>
              <w:jc w:val="center"/>
              <w:rPr>
                <w:rFonts w:hint="eastAsia" w:ascii="宋体" w:hAnsi="宋体" w:eastAsia="宋体" w:cs="宋体"/>
                <w:i w:val="0"/>
                <w:iCs w:val="0"/>
                <w:color w:val="auto"/>
                <w:sz w:val="22"/>
                <w:szCs w:val="22"/>
                <w:highlight w:val="none"/>
                <w:u w:val="none"/>
              </w:rPr>
            </w:pPr>
          </w:p>
        </w:tc>
        <w:tc>
          <w:tcPr>
            <w:tcW w:w="27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C0FB">
            <w:pPr>
              <w:jc w:val="center"/>
              <w:rPr>
                <w:rFonts w:hint="eastAsia" w:ascii="宋体" w:hAnsi="宋体" w:eastAsia="宋体" w:cs="宋体"/>
                <w:i w:val="0"/>
                <w:iCs w:val="0"/>
                <w:color w:val="auto"/>
                <w:sz w:val="22"/>
                <w:szCs w:val="22"/>
                <w:highlight w:val="none"/>
                <w:u w:val="none"/>
              </w:rPr>
            </w:pPr>
          </w:p>
        </w:tc>
        <w:tc>
          <w:tcPr>
            <w:tcW w:w="3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4D9B">
            <w:pPr>
              <w:jc w:val="left"/>
              <w:rPr>
                <w:rFonts w:hint="eastAsia" w:ascii="宋体" w:hAnsi="宋体" w:eastAsia="宋体" w:cs="宋体"/>
                <w:i w:val="0"/>
                <w:iCs w:val="0"/>
                <w:color w:val="auto"/>
                <w:sz w:val="22"/>
                <w:szCs w:val="22"/>
                <w:highlight w:val="none"/>
                <w:u w:val="none"/>
              </w:rPr>
            </w:pPr>
          </w:p>
        </w:tc>
        <w:tc>
          <w:tcPr>
            <w:tcW w:w="4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E85D4">
            <w:pPr>
              <w:jc w:val="left"/>
              <w:rPr>
                <w:rFonts w:hint="eastAsia" w:ascii="宋体" w:hAnsi="宋体" w:eastAsia="宋体" w:cs="宋体"/>
                <w:b/>
                <w:bCs/>
                <w:i w:val="0"/>
                <w:iCs w:val="0"/>
                <w:color w:val="auto"/>
                <w:sz w:val="22"/>
                <w:szCs w:val="22"/>
                <w:highlight w:val="none"/>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90F4">
            <w:pPr>
              <w:jc w:val="left"/>
              <w:rPr>
                <w:rFonts w:hint="eastAsia" w:ascii="宋体" w:hAnsi="宋体" w:eastAsia="宋体" w:cs="宋体"/>
                <w:i w:val="0"/>
                <w:iCs w:val="0"/>
                <w:color w:val="auto"/>
                <w:sz w:val="22"/>
                <w:szCs w:val="22"/>
                <w:highlight w:val="none"/>
                <w:u w:val="none"/>
              </w:rPr>
            </w:pPr>
          </w:p>
        </w:tc>
      </w:tr>
    </w:tbl>
    <w:p w14:paraId="4EA55CD8">
      <w:pPr>
        <w:jc w:val="left"/>
        <w:rPr>
          <w:rFonts w:hint="eastAsia" w:cs="Times New Roman"/>
          <w:color w:val="auto"/>
          <w:szCs w:val="32"/>
          <w:highlight w:val="none"/>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80D26C-D745-4EFC-B52B-9F51DF4B7F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B6B7F4C-0832-43F5-A228-41F6A92D1BC0}"/>
  </w:font>
  <w:font w:name="Mangal">
    <w:panose1 w:val="02040503050203030202"/>
    <w:charset w:val="00"/>
    <w:family w:val="roman"/>
    <w:pitch w:val="default"/>
    <w:sig w:usb0="00008003"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embedRegular r:id="rId3" w:fontKey="{504C0657-0EA8-4829-A698-E6147C7D634C}"/>
  </w:font>
  <w:font w:name="方正小标宋简体">
    <w:panose1 w:val="02000000000000000000"/>
    <w:charset w:val="86"/>
    <w:family w:val="script"/>
    <w:pitch w:val="default"/>
    <w:sig w:usb0="A00002BF" w:usb1="184F6CFA" w:usb2="00000012" w:usb3="00000000" w:csb0="00040001" w:csb1="00000000"/>
    <w:embedRegular r:id="rId4" w:fontKey="{772FA40B-B5ED-44B5-9A7A-7CF2E5213273}"/>
  </w:font>
  <w:font w:name="Cambria Math">
    <w:panose1 w:val="02040503050406030204"/>
    <w:charset w:val="00"/>
    <w:family w:val="roman"/>
    <w:pitch w:val="default"/>
    <w:sig w:usb0="E00002FF" w:usb1="420024FF" w:usb2="00000000" w:usb3="00000000" w:csb0="2000019F" w:csb1="00000000"/>
    <w:embedRegular r:id="rId5" w:fontKey="{9915617F-E3A4-4093-8E75-FD0089E4B3B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FE7DE">
    <w:pPr>
      <w:pStyle w:val="5"/>
      <w:jc w:val="right"/>
    </w:pPr>
  </w:p>
  <w:p w14:paraId="2DDBA7A5">
    <w:pPr>
      <w:pStyle w:val="5"/>
      <w:jc w:val="right"/>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21 -</w:t>
    </w:r>
    <w:r>
      <w:rPr>
        <w:rFonts w:hint="eastAsia" w:ascii="仿宋_GB2312"/>
        <w:sz w:val="28"/>
        <w:szCs w:val="28"/>
      </w:rPr>
      <w:fldChar w:fldCharType="end"/>
    </w:r>
  </w:p>
  <w:p w14:paraId="379DCF18">
    <w:pPr>
      <w:pStyle w:val="5"/>
      <w:ind w:firstLine="20300" w:firstLineChars="7250"/>
      <w:rPr>
        <w:rFonts w:ascii="仿宋" w:hAnsi="仿宋" w:eastAsia="仿宋"/>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0C0CC"/>
    <w:multiLevelType w:val="singleLevel"/>
    <w:tmpl w:val="5FF0C0CC"/>
    <w:lvl w:ilvl="0" w:tentative="0">
      <w:start w:val="2"/>
      <w:numFmt w:val="chineseCounting"/>
      <w:suff w:val="nothing"/>
      <w:lvlText w:val="（%1）"/>
      <w:lvlJc w:val="left"/>
      <w:rPr>
        <w:rFonts w:hint="eastAsia"/>
      </w:rPr>
    </w:lvl>
  </w:abstractNum>
  <w:abstractNum w:abstractNumId="1">
    <w:nsid w:val="6FF8BFB3"/>
    <w:multiLevelType w:val="singleLevel"/>
    <w:tmpl w:val="6FF8BFB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MmE4MjU2YzI3ZmI0MDg3ZDZiZTU5YTAyYTZiZmUifQ=="/>
    <w:docVar w:name="KSO_WPS_MARK_KEY" w:val="045cdf13-3eea-434a-8360-3080a0b61778"/>
  </w:docVars>
  <w:rsids>
    <w:rsidRoot w:val="0FB56433"/>
    <w:rsid w:val="004B5276"/>
    <w:rsid w:val="03B13598"/>
    <w:rsid w:val="041B108B"/>
    <w:rsid w:val="06E672DF"/>
    <w:rsid w:val="07615AEE"/>
    <w:rsid w:val="08521142"/>
    <w:rsid w:val="08960504"/>
    <w:rsid w:val="08987BA8"/>
    <w:rsid w:val="08C513D9"/>
    <w:rsid w:val="08FB45B0"/>
    <w:rsid w:val="09217496"/>
    <w:rsid w:val="0A975339"/>
    <w:rsid w:val="0E780033"/>
    <w:rsid w:val="0FB56433"/>
    <w:rsid w:val="11C21FB3"/>
    <w:rsid w:val="121328CE"/>
    <w:rsid w:val="12374D8F"/>
    <w:rsid w:val="13B24E33"/>
    <w:rsid w:val="147F5E23"/>
    <w:rsid w:val="19FD409B"/>
    <w:rsid w:val="1AE67B85"/>
    <w:rsid w:val="1B965EC4"/>
    <w:rsid w:val="1BB05AD7"/>
    <w:rsid w:val="1C265506"/>
    <w:rsid w:val="1CC6213F"/>
    <w:rsid w:val="1D314E7C"/>
    <w:rsid w:val="1DFC609F"/>
    <w:rsid w:val="1EC54C23"/>
    <w:rsid w:val="1FE01E51"/>
    <w:rsid w:val="219654AA"/>
    <w:rsid w:val="23EA2E1E"/>
    <w:rsid w:val="294811E7"/>
    <w:rsid w:val="2C093A63"/>
    <w:rsid w:val="2D025E8A"/>
    <w:rsid w:val="2E1E1BDD"/>
    <w:rsid w:val="2E3C5A8C"/>
    <w:rsid w:val="2E4108B2"/>
    <w:rsid w:val="30E87A49"/>
    <w:rsid w:val="325133C3"/>
    <w:rsid w:val="339C136C"/>
    <w:rsid w:val="33B4346C"/>
    <w:rsid w:val="34757B91"/>
    <w:rsid w:val="371116C7"/>
    <w:rsid w:val="37E86E0E"/>
    <w:rsid w:val="3A6B409B"/>
    <w:rsid w:val="3A803CFD"/>
    <w:rsid w:val="3AC27EAC"/>
    <w:rsid w:val="3B8A40BE"/>
    <w:rsid w:val="3BE929F2"/>
    <w:rsid w:val="3D21489F"/>
    <w:rsid w:val="3D351FF8"/>
    <w:rsid w:val="3D955C17"/>
    <w:rsid w:val="409006D7"/>
    <w:rsid w:val="41643533"/>
    <w:rsid w:val="46231421"/>
    <w:rsid w:val="46DA7D28"/>
    <w:rsid w:val="4953791E"/>
    <w:rsid w:val="4A7A1A80"/>
    <w:rsid w:val="4C2B0878"/>
    <w:rsid w:val="506E570F"/>
    <w:rsid w:val="512C3859"/>
    <w:rsid w:val="51984A67"/>
    <w:rsid w:val="51AD49A4"/>
    <w:rsid w:val="54C56D2E"/>
    <w:rsid w:val="54DF2C84"/>
    <w:rsid w:val="567D2CDB"/>
    <w:rsid w:val="58091A76"/>
    <w:rsid w:val="580A59C7"/>
    <w:rsid w:val="58EF4F54"/>
    <w:rsid w:val="5CCB5C07"/>
    <w:rsid w:val="5FC22783"/>
    <w:rsid w:val="616B40D0"/>
    <w:rsid w:val="63E24D38"/>
    <w:rsid w:val="64A7310D"/>
    <w:rsid w:val="67972E3C"/>
    <w:rsid w:val="6CB370B1"/>
    <w:rsid w:val="6D2C63EC"/>
    <w:rsid w:val="6FFC56E6"/>
    <w:rsid w:val="70374F5B"/>
    <w:rsid w:val="70EE633F"/>
    <w:rsid w:val="71120427"/>
    <w:rsid w:val="733C4DFB"/>
    <w:rsid w:val="76FF1AB2"/>
    <w:rsid w:val="77AE25A1"/>
    <w:rsid w:val="78366D5F"/>
    <w:rsid w:val="7A956DF6"/>
    <w:rsid w:val="7AB55116"/>
    <w:rsid w:val="7DC85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Mangal"/>
      <w:kern w:val="2"/>
      <w:sz w:val="32"/>
      <w:szCs w:val="24"/>
      <w:lang w:val="en-US" w:eastAsia="zh-CN" w:bidi="hi-IN"/>
    </w:rPr>
  </w:style>
  <w:style w:type="paragraph" w:styleId="2">
    <w:name w:val="heading 1"/>
    <w:basedOn w:val="1"/>
    <w:next w:val="1"/>
    <w:link w:val="9"/>
    <w:qFormat/>
    <w:uiPriority w:val="0"/>
    <w:pPr>
      <w:widowControl/>
      <w:spacing w:beforeAutospacing="1" w:afterAutospacing="1"/>
      <w:jc w:val="left"/>
      <w:outlineLvl w:val="0"/>
    </w:pPr>
    <w:rPr>
      <w:rFonts w:ascii="宋体" w:hAnsi="宋体" w:eastAsia="黑体" w:cs="宋体"/>
      <w:bCs/>
      <w:kern w:val="36"/>
      <w:sz w:val="32"/>
      <w:szCs w:val="48"/>
    </w:rPr>
  </w:style>
  <w:style w:type="paragraph" w:styleId="3">
    <w:name w:val="heading 2"/>
    <w:basedOn w:val="1"/>
    <w:next w:val="1"/>
    <w:semiHidden/>
    <w:unhideWhenUsed/>
    <w:qFormat/>
    <w:uiPriority w:val="0"/>
    <w:pPr>
      <w:widowControl w:val="0"/>
      <w:autoSpaceDE w:val="0"/>
      <w:autoSpaceDN w:val="0"/>
      <w:adjustRightInd w:val="0"/>
      <w:ind w:firstLine="600" w:firstLineChars="200"/>
      <w:outlineLvl w:val="1"/>
    </w:pPr>
    <w:rPr>
      <w:rFonts w:ascii="MS Mincho" w:hAnsi="MS Mincho" w:eastAsia="黑体" w:cstheme="minorBidi"/>
      <w:b/>
      <w:i/>
      <w:color w:val="000000"/>
      <w:sz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6"/>
    </w:rPr>
  </w:style>
  <w:style w:type="character" w:styleId="8">
    <w:name w:val="Hyperlink"/>
    <w:basedOn w:val="7"/>
    <w:qFormat/>
    <w:uiPriority w:val="0"/>
    <w:rPr>
      <w:color w:val="0000FF"/>
      <w:u w:val="single"/>
    </w:rPr>
  </w:style>
  <w:style w:type="character" w:customStyle="1" w:styleId="9">
    <w:name w:val="标题 1 字符"/>
    <w:link w:val="2"/>
    <w:qFormat/>
    <w:uiPriority w:val="9"/>
    <w:rPr>
      <w:rFonts w:ascii="宋体" w:hAnsi="宋体" w:eastAsia="黑体" w:cs="宋体"/>
      <w:bCs/>
      <w:kern w:val="36"/>
      <w:sz w:val="32"/>
      <w:szCs w:val="48"/>
    </w:rPr>
  </w:style>
  <w:style w:type="character" w:customStyle="1" w:styleId="10">
    <w:name w:val="NormalCharacter"/>
    <w:qFormat/>
    <w:uiPriority w:val="0"/>
    <w:rPr>
      <w:rFonts w:ascii="Times New Roman" w:hAnsi="Times New Roman" w:eastAsia="宋体"/>
    </w:rPr>
  </w:style>
  <w:style w:type="character" w:customStyle="1" w:styleId="11">
    <w:name w:val="font11"/>
    <w:basedOn w:val="7"/>
    <w:qFormat/>
    <w:uiPriority w:val="0"/>
    <w:rPr>
      <w:rFonts w:hint="eastAsia" w:ascii="宋体" w:hAnsi="宋体" w:eastAsia="宋体" w:cs="宋体"/>
      <w:b/>
      <w:bCs/>
      <w:color w:val="000000"/>
      <w:sz w:val="22"/>
      <w:szCs w:val="22"/>
      <w:u w:val="none"/>
    </w:rPr>
  </w:style>
  <w:style w:type="character" w:customStyle="1" w:styleId="12">
    <w:name w:val="font01"/>
    <w:basedOn w:val="7"/>
    <w:qFormat/>
    <w:uiPriority w:val="0"/>
    <w:rPr>
      <w:rFonts w:hint="eastAsia" w:ascii="宋体" w:hAnsi="宋体" w:eastAsia="宋体" w:cs="宋体"/>
      <w:color w:val="000000"/>
      <w:sz w:val="22"/>
      <w:szCs w:val="22"/>
      <w:u w:val="none"/>
    </w:rPr>
  </w:style>
  <w:style w:type="character" w:customStyle="1" w:styleId="13">
    <w:name w:val="font71"/>
    <w:basedOn w:val="7"/>
    <w:qFormat/>
    <w:uiPriority w:val="0"/>
    <w:rPr>
      <w:rFonts w:ascii="仿宋" w:hAnsi="仿宋" w:eastAsia="仿宋" w:cs="仿宋"/>
      <w:color w:val="000000"/>
      <w:sz w:val="21"/>
      <w:szCs w:val="21"/>
      <w:u w:val="none"/>
    </w:rPr>
  </w:style>
  <w:style w:type="character" w:customStyle="1" w:styleId="14">
    <w:name w:val="font21"/>
    <w:basedOn w:val="7"/>
    <w:qFormat/>
    <w:uiPriority w:val="0"/>
    <w:rPr>
      <w:rFonts w:hint="eastAsia" w:ascii="宋体" w:hAnsi="宋体" w:eastAsia="宋体" w:cs="宋体"/>
      <w:color w:val="FF0000"/>
      <w:sz w:val="22"/>
      <w:szCs w:val="22"/>
      <w:u w:val="none"/>
    </w:rPr>
  </w:style>
  <w:style w:type="character" w:customStyle="1" w:styleId="15">
    <w:name w:val="font81"/>
    <w:basedOn w:val="7"/>
    <w:qFormat/>
    <w:uiPriority w:val="0"/>
    <w:rPr>
      <w:rFonts w:hint="eastAsia" w:ascii="宋体" w:hAnsi="宋体" w:eastAsia="宋体" w:cs="宋体"/>
      <w:color w:val="000000"/>
      <w:sz w:val="22"/>
      <w:szCs w:val="22"/>
      <w:u w:val="none"/>
    </w:rPr>
  </w:style>
  <w:style w:type="character" w:customStyle="1" w:styleId="16">
    <w:name w:val="font91"/>
    <w:basedOn w:val="7"/>
    <w:qFormat/>
    <w:uiPriority w:val="0"/>
    <w:rPr>
      <w:rFonts w:hint="eastAsia" w:ascii="宋体" w:hAnsi="宋体" w:eastAsia="宋体" w:cs="宋体"/>
      <w:color w:val="000000"/>
      <w:sz w:val="21"/>
      <w:szCs w:val="21"/>
      <w:u w:val="none"/>
    </w:rPr>
  </w:style>
  <w:style w:type="character" w:customStyle="1" w:styleId="17">
    <w:name w:val="font101"/>
    <w:basedOn w:val="7"/>
    <w:qFormat/>
    <w:uiPriority w:val="0"/>
    <w:rPr>
      <w:rFonts w:hint="eastAsia" w:ascii="宋体" w:hAnsi="宋体" w:eastAsia="宋体" w:cs="宋体"/>
      <w:color w:val="FF0000"/>
      <w:sz w:val="21"/>
      <w:szCs w:val="21"/>
      <w:u w:val="none"/>
    </w:rPr>
  </w:style>
  <w:style w:type="character" w:customStyle="1" w:styleId="18">
    <w:name w:val="font112"/>
    <w:basedOn w:val="7"/>
    <w:qFormat/>
    <w:uiPriority w:val="0"/>
    <w:rPr>
      <w:rFonts w:hint="eastAsia" w:ascii="仿宋" w:hAnsi="仿宋" w:eastAsia="仿宋" w:cs="仿宋"/>
      <w:b/>
      <w:bCs/>
      <w:color w:val="000000"/>
      <w:sz w:val="24"/>
      <w:szCs w:val="24"/>
      <w:u w:val="none"/>
    </w:rPr>
  </w:style>
  <w:style w:type="character" w:customStyle="1" w:styleId="19">
    <w:name w:val="font31"/>
    <w:basedOn w:val="7"/>
    <w:qFormat/>
    <w:uiPriority w:val="0"/>
    <w:rPr>
      <w:rFonts w:hint="eastAsia" w:ascii="仿宋_GB2312" w:eastAsia="仿宋_GB2312" w:cs="仿宋_GB2312"/>
      <w:b/>
      <w:bCs/>
      <w:color w:val="000000"/>
      <w:sz w:val="24"/>
      <w:szCs w:val="24"/>
      <w:u w:val="none"/>
    </w:rPr>
  </w:style>
  <w:style w:type="character" w:customStyle="1" w:styleId="20">
    <w:name w:val="font121"/>
    <w:basedOn w:val="7"/>
    <w:qFormat/>
    <w:uiPriority w:val="0"/>
    <w:rPr>
      <w:rFonts w:hint="eastAsia" w:ascii="仿宋" w:hAnsi="仿宋" w:eastAsia="仿宋" w:cs="仿宋"/>
      <w:color w:val="000000"/>
      <w:sz w:val="24"/>
      <w:szCs w:val="24"/>
      <w:u w:val="none"/>
    </w:rPr>
  </w:style>
  <w:style w:type="character" w:customStyle="1" w:styleId="21">
    <w:name w:val="font131"/>
    <w:basedOn w:val="7"/>
    <w:qFormat/>
    <w:uiPriority w:val="0"/>
    <w:rPr>
      <w:rFonts w:hint="eastAsia" w:ascii="仿宋" w:hAnsi="仿宋" w:eastAsia="仿宋" w:cs="仿宋"/>
      <w:color w:val="000000"/>
      <w:sz w:val="20"/>
      <w:szCs w:val="20"/>
      <w:u w:val="none"/>
    </w:rPr>
  </w:style>
  <w:style w:type="character" w:customStyle="1" w:styleId="22">
    <w:name w:val="font51"/>
    <w:basedOn w:val="7"/>
    <w:qFormat/>
    <w:uiPriority w:val="0"/>
    <w:rPr>
      <w:rFonts w:hint="eastAsia" w:ascii="宋体" w:hAnsi="宋体" w:eastAsia="宋体" w:cs="宋体"/>
      <w:b/>
      <w:bCs/>
      <w:color w:val="000000"/>
      <w:sz w:val="22"/>
      <w:szCs w:val="22"/>
      <w:u w:val="none"/>
    </w:rPr>
  </w:style>
  <w:style w:type="character" w:customStyle="1" w:styleId="23">
    <w:name w:val="font4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10806</Words>
  <Characters>11610</Characters>
  <Lines>0</Lines>
  <Paragraphs>0</Paragraphs>
  <TotalTime>22</TotalTime>
  <ScaleCrop>false</ScaleCrop>
  <LinksUpToDate>false</LinksUpToDate>
  <CharactersWithSpaces>11678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2024-07-24T02:36:00Z</dcterms:created>
  <dc:creator>danny</dc:creator>
  <cp:lastModifiedBy>WPS_1620977311</cp:lastModifiedBy>
  <dcterms:modified xsi:type="dcterms:W3CDTF">2025-06-27T06:45:44Z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A866659B14B5466C89CEBBB340BA8B6B_13</vt:lpwstr>
  </property>
  <property fmtid="{D5CDD505-2E9C-101B-9397-08002B2CF9AE}" pid="4" name="KSOTemplateDocerSaveRecord">
    <vt:lpwstr>eyJoZGlkIjoiZTJiYjJiZWZjNWY3M2NhZGFjNmIyMTgyNmRlNTAwYzUiLCJ1c2VySWQiOiIxMjA5NjQ4NjY5In0=</vt:lpwstr>
  </property>
</Properties>
</file>