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2223B">
      <w:pPr>
        <w:spacing w:line="560" w:lineRule="exact"/>
        <w:jc w:val="center"/>
        <w:rPr>
          <w:rFonts w:ascii="方正小标宋简体" w:hAnsi="仿宋" w:eastAsia="方正小标宋简体" w:cs="仿宋"/>
          <w:sz w:val="44"/>
          <w:szCs w:val="44"/>
          <w:highlight w:val="none"/>
        </w:rPr>
      </w:pPr>
      <w:bookmarkStart w:id="22" w:name="_GoBack"/>
      <w:bookmarkEnd w:id="22"/>
      <w:bookmarkStart w:id="0" w:name="_Toc2147_WPSOffice_Level2"/>
      <w:bookmarkStart w:id="1" w:name="_Toc5706"/>
      <w:bookmarkStart w:id="2" w:name="_Toc4312_WPSOffice_Level2"/>
      <w:bookmarkStart w:id="3" w:name="_Toc12363"/>
      <w:bookmarkStart w:id="4" w:name="_Toc16598"/>
      <w:r>
        <w:rPr>
          <w:rFonts w:hint="eastAsia" w:ascii="方正小标宋简体" w:hAnsi="仿宋" w:eastAsia="方正小标宋简体" w:cs="仿宋"/>
          <w:sz w:val="44"/>
          <w:szCs w:val="44"/>
          <w:highlight w:val="none"/>
        </w:rPr>
        <w:t>公共管理学院研究生奖学金评定细则</w:t>
      </w:r>
      <w:bookmarkEnd w:id="0"/>
      <w:bookmarkEnd w:id="1"/>
      <w:bookmarkEnd w:id="2"/>
      <w:bookmarkEnd w:id="3"/>
      <w:bookmarkEnd w:id="4"/>
    </w:p>
    <w:p w14:paraId="568A9EAF">
      <w:pPr>
        <w:spacing w:line="560" w:lineRule="exact"/>
        <w:jc w:val="center"/>
        <w:rPr>
          <w:rFonts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（202</w:t>
      </w:r>
      <w:r>
        <w:rPr>
          <w:rFonts w:hint="eastAsia" w:ascii="方正小标宋简体" w:hAnsi="仿宋" w:eastAsia="方正小标宋简体" w:cs="仿宋"/>
          <w:sz w:val="44"/>
          <w:szCs w:val="44"/>
          <w:highlight w:val="none"/>
          <w:lang w:val="en-US" w:eastAsia="zh-CN"/>
        </w:rPr>
        <w:t>5</w:t>
      </w:r>
      <w:r>
        <w:rPr>
          <w:rFonts w:hint="eastAsia" w:ascii="方正小标宋简体" w:hAnsi="仿宋" w:eastAsia="方正小标宋简体" w:cs="仿宋"/>
          <w:sz w:val="44"/>
          <w:szCs w:val="44"/>
          <w:highlight w:val="none"/>
        </w:rPr>
        <w:t>年修订）</w:t>
      </w:r>
    </w:p>
    <w:p w14:paraId="3DA0B5E9">
      <w:pPr>
        <w:spacing w:line="560" w:lineRule="exact"/>
        <w:jc w:val="center"/>
        <w:rPr>
          <w:rFonts w:ascii="方正小标宋简体" w:hAnsi="仿宋" w:eastAsia="方正小标宋简体" w:cs="仿宋"/>
          <w:sz w:val="44"/>
          <w:szCs w:val="44"/>
          <w:highlight w:val="none"/>
        </w:rPr>
      </w:pPr>
    </w:p>
    <w:p w14:paraId="5C992088">
      <w:pPr>
        <w:spacing w:line="560" w:lineRule="exact"/>
        <w:jc w:val="center"/>
        <w:rPr>
          <w:rFonts w:ascii="黑体" w:hAnsi="黑体" w:eastAsia="黑体" w:cs="仿宋"/>
          <w:sz w:val="32"/>
          <w:szCs w:val="32"/>
          <w:highlight w:val="none"/>
        </w:rPr>
      </w:pPr>
      <w:bookmarkStart w:id="5" w:name="_Toc17528_WPSOffice_Level2"/>
      <w:bookmarkStart w:id="6" w:name="_Toc7917_WPSOffice_Level1"/>
      <w:bookmarkStart w:id="7" w:name="_Toc17272_WPSOffice_Level2"/>
      <w:bookmarkStart w:id="8" w:name="_Toc19094_WPSOffice_Level2"/>
      <w:r>
        <w:rPr>
          <w:rFonts w:hint="eastAsia" w:ascii="黑体" w:hAnsi="黑体" w:eastAsia="黑体" w:cs="仿宋"/>
          <w:sz w:val="32"/>
          <w:szCs w:val="32"/>
          <w:highlight w:val="none"/>
        </w:rPr>
        <w:t>第一章 总则</w:t>
      </w:r>
      <w:bookmarkEnd w:id="5"/>
      <w:bookmarkEnd w:id="6"/>
      <w:bookmarkEnd w:id="7"/>
      <w:bookmarkEnd w:id="8"/>
    </w:p>
    <w:p w14:paraId="3B25ADFF">
      <w:pPr>
        <w:spacing w:line="560" w:lineRule="exact"/>
        <w:ind w:firstLine="643"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第一条</w:t>
      </w:r>
      <w:r>
        <w:rPr>
          <w:rFonts w:hint="eastAsia" w:ascii="仿宋_GB2312" w:hAnsi="仿宋" w:eastAsia="仿宋_GB2312" w:cs="仿宋"/>
          <w:sz w:val="32"/>
          <w:szCs w:val="32"/>
          <w:highlight w:val="none"/>
        </w:rPr>
        <w:t xml:space="preserve"> 为了全面贯彻、落实党的教育方针，建立健全各种激励机制，促进研究生德、智、体全面发展，根据《贵州大学研究生奖学金评定办法（修订）》的有关规定，结合我院实际情况，特制定本评定工作实施细则（以下简称《细则》）。</w:t>
      </w:r>
    </w:p>
    <w:p w14:paraId="734541A3">
      <w:pPr>
        <w:spacing w:line="560" w:lineRule="exact"/>
        <w:ind w:firstLine="643" w:firstLineChars="200"/>
        <w:rPr>
          <w:rFonts w:ascii="仿宋_GB2312" w:hAnsi="仿宋" w:eastAsia="仿宋_GB2312"/>
          <w:sz w:val="32"/>
          <w:szCs w:val="32"/>
          <w:highlight w:val="none"/>
        </w:rPr>
      </w:pPr>
      <w:r>
        <w:rPr>
          <w:rFonts w:hint="eastAsia" w:ascii="仿宋_GB2312" w:hAnsi="仿宋" w:eastAsia="仿宋_GB2312" w:cs="仿宋"/>
          <w:b/>
          <w:bCs/>
          <w:sz w:val="32"/>
          <w:szCs w:val="32"/>
          <w:highlight w:val="none"/>
        </w:rPr>
        <w:t>第二条</w:t>
      </w:r>
      <w:r>
        <w:rPr>
          <w:rFonts w:hint="eastAsia" w:ascii="仿宋_GB2312" w:hAnsi="仿宋" w:eastAsia="仿宋_GB2312" w:cs="仿宋"/>
          <w:sz w:val="32"/>
          <w:szCs w:val="32"/>
          <w:highlight w:val="none"/>
        </w:rPr>
        <w:t xml:space="preserve"> </w:t>
      </w:r>
      <w:r>
        <w:rPr>
          <w:rFonts w:hint="eastAsia" w:ascii="仿宋_GB2312" w:hAnsi="仿宋" w:eastAsia="仿宋_GB2312"/>
          <w:sz w:val="32"/>
          <w:szCs w:val="32"/>
          <w:highlight w:val="none"/>
        </w:rPr>
        <w:t>本细则所称研究生是指纳入全国研究生招生计划的全日制脱产学习的研究生(定向、委培除外)。全日制脱产学习研究生身份的确定以档案按时转入我校为准。</w:t>
      </w:r>
    </w:p>
    <w:p w14:paraId="12790989">
      <w:pPr>
        <w:spacing w:line="520" w:lineRule="exact"/>
        <w:ind w:firstLine="643" w:firstLineChars="200"/>
        <w:rPr>
          <w:rFonts w:ascii="仿宋_GB2312" w:hAnsi="仿宋" w:eastAsia="仿宋_GB2312"/>
          <w:sz w:val="32"/>
          <w:szCs w:val="32"/>
          <w:highlight w:val="none"/>
        </w:rPr>
      </w:pPr>
      <w:r>
        <w:rPr>
          <w:rFonts w:hint="eastAsia" w:ascii="仿宋_GB2312" w:hAnsi="仿宋" w:eastAsia="仿宋_GB2312"/>
          <w:b/>
          <w:color w:val="000000"/>
          <w:sz w:val="32"/>
          <w:szCs w:val="32"/>
          <w:highlight w:val="none"/>
        </w:rPr>
        <w:t>第三条</w:t>
      </w:r>
      <w:r>
        <w:rPr>
          <w:rFonts w:hint="eastAsia" w:ascii="仿宋_GB2312" w:hAnsi="仿宋" w:eastAsia="仿宋_GB2312"/>
          <w:sz w:val="32"/>
          <w:szCs w:val="32"/>
          <w:highlight w:val="none"/>
        </w:rPr>
        <w:t xml:space="preserve">  奖学金分为国家奖学金和学业奖学金。</w:t>
      </w:r>
    </w:p>
    <w:p w14:paraId="55B738A9">
      <w:pPr>
        <w:spacing w:line="520" w:lineRule="exact"/>
        <w:ind w:firstLine="643" w:firstLineChars="200"/>
        <w:rPr>
          <w:rFonts w:ascii="仿宋_GB2312" w:hAnsi="仿宋" w:eastAsia="仿宋_GB2312"/>
          <w:sz w:val="32"/>
          <w:szCs w:val="32"/>
          <w:highlight w:val="none"/>
        </w:rPr>
      </w:pPr>
      <w:r>
        <w:rPr>
          <w:rFonts w:hint="eastAsia" w:ascii="仿宋_GB2312" w:hAnsi="仿宋" w:eastAsia="仿宋_GB2312"/>
          <w:b/>
          <w:bCs/>
          <w:sz w:val="32"/>
          <w:szCs w:val="32"/>
          <w:highlight w:val="none"/>
        </w:rPr>
        <w:t>第四条</w:t>
      </w:r>
      <w:r>
        <w:rPr>
          <w:rFonts w:hint="eastAsia" w:ascii="仿宋_GB2312" w:hAnsi="仿宋" w:eastAsia="仿宋_GB2312"/>
          <w:sz w:val="32"/>
          <w:szCs w:val="32"/>
          <w:highlight w:val="none"/>
        </w:rPr>
        <w:t xml:space="preserve">  本办法适用于</w:t>
      </w:r>
      <w:r>
        <w:rPr>
          <w:rFonts w:hint="eastAsia" w:ascii="仿宋_GB2312" w:hAnsi="仿宋" w:eastAsia="仿宋_GB2312"/>
          <w:sz w:val="32"/>
          <w:szCs w:val="32"/>
          <w:highlight w:val="none"/>
          <w:lang w:val="en-US" w:eastAsia="zh-CN"/>
        </w:rPr>
        <w:t>2023级</w:t>
      </w:r>
      <w:r>
        <w:rPr>
          <w:rFonts w:hint="eastAsia" w:ascii="仿宋_GB2312" w:hAnsi="仿宋" w:eastAsia="仿宋_GB2312"/>
          <w:sz w:val="32"/>
          <w:szCs w:val="32"/>
          <w:highlight w:val="none"/>
        </w:rPr>
        <w:t>研究生.</w:t>
      </w:r>
    </w:p>
    <w:p w14:paraId="7CCC94CF">
      <w:pPr>
        <w:spacing w:line="520" w:lineRule="exact"/>
        <w:ind w:firstLine="640" w:firstLineChars="200"/>
        <w:rPr>
          <w:rFonts w:ascii="仿宋_GB2312" w:hAnsi="仿宋" w:eastAsia="仿宋_GB2312"/>
          <w:sz w:val="32"/>
          <w:szCs w:val="32"/>
          <w:highlight w:val="none"/>
        </w:rPr>
      </w:pPr>
    </w:p>
    <w:p w14:paraId="2CD21748">
      <w:pPr>
        <w:spacing w:line="560" w:lineRule="exact"/>
        <w:ind w:firstLine="640" w:firstLineChars="200"/>
        <w:jc w:val="center"/>
        <w:rPr>
          <w:rFonts w:ascii="仿宋" w:hAnsi="仿宋" w:eastAsia="仿宋" w:cs="仿宋"/>
          <w:b/>
          <w:bCs/>
          <w:sz w:val="32"/>
          <w:szCs w:val="32"/>
          <w:highlight w:val="none"/>
        </w:rPr>
      </w:pPr>
      <w:bookmarkStart w:id="9" w:name="_Toc5201_WPSOffice_Level1"/>
      <w:bookmarkStart w:id="10" w:name="_Toc15821_WPSOffice_Level2"/>
      <w:bookmarkStart w:id="11" w:name="_Toc16405_WPSOffice_Level2"/>
      <w:bookmarkStart w:id="12" w:name="_Toc15606_WPSOffice_Level2"/>
      <w:r>
        <w:rPr>
          <w:rFonts w:hint="eastAsia" w:ascii="黑体" w:hAnsi="黑体" w:eastAsia="黑体" w:cs="仿宋"/>
          <w:sz w:val="32"/>
          <w:szCs w:val="32"/>
          <w:highlight w:val="none"/>
        </w:rPr>
        <w:t>第二章 奖励标准及指标下达</w:t>
      </w:r>
      <w:bookmarkEnd w:id="9"/>
      <w:bookmarkEnd w:id="10"/>
      <w:bookmarkEnd w:id="11"/>
      <w:bookmarkEnd w:id="12"/>
    </w:p>
    <w:p w14:paraId="55C21B8C">
      <w:pPr>
        <w:spacing w:beforeLines="50" w:line="560" w:lineRule="exact"/>
        <w:ind w:firstLine="643" w:firstLineChars="200"/>
        <w:rPr>
          <w:rFonts w:ascii="仿宋_GB2312" w:hAnsi="仿宋" w:eastAsia="仿宋_GB2312" w:cs="仿宋"/>
          <w:sz w:val="32"/>
          <w:szCs w:val="32"/>
          <w:highlight w:val="none"/>
        </w:rPr>
      </w:pPr>
      <w:bookmarkStart w:id="13" w:name="page36"/>
      <w:bookmarkEnd w:id="13"/>
      <w:bookmarkStart w:id="14" w:name="_Toc1919_WPSOffice_Level2"/>
      <w:bookmarkStart w:id="15" w:name="_Toc2257_WPSOffice_Level2"/>
      <w:bookmarkStart w:id="16" w:name="_Toc22194_WPSOffice_Level2"/>
      <w:r>
        <w:rPr>
          <w:rFonts w:hint="eastAsia" w:ascii="仿宋_GB2312" w:hAnsi="仿宋" w:eastAsia="仿宋_GB2312" w:cs="仿宋"/>
          <w:b/>
          <w:bCs/>
          <w:sz w:val="32"/>
          <w:szCs w:val="32"/>
          <w:highlight w:val="none"/>
        </w:rPr>
        <w:t>第五条</w:t>
      </w:r>
      <w:r>
        <w:rPr>
          <w:rFonts w:hint="eastAsia" w:ascii="仿宋_GB2312" w:hAnsi="仿宋" w:eastAsia="仿宋_GB2312" w:cs="仿宋"/>
          <w:sz w:val="32"/>
          <w:szCs w:val="32"/>
          <w:highlight w:val="none"/>
        </w:rPr>
        <w:t xml:space="preserve"> 国家奖学金</w:t>
      </w:r>
    </w:p>
    <w:tbl>
      <w:tblPr>
        <w:tblStyle w:val="6"/>
        <w:tblW w:w="44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5"/>
        <w:gridCol w:w="3831"/>
      </w:tblGrid>
      <w:tr w14:paraId="0871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468" w:type="pct"/>
            <w:vAlign w:val="center"/>
          </w:tcPr>
          <w:p w14:paraId="6F9AE7CF">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类别</w:t>
            </w:r>
          </w:p>
        </w:tc>
        <w:tc>
          <w:tcPr>
            <w:tcW w:w="2531" w:type="pct"/>
            <w:vAlign w:val="center"/>
          </w:tcPr>
          <w:p w14:paraId="00FE2490">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奖励标准</w:t>
            </w:r>
          </w:p>
        </w:tc>
      </w:tr>
      <w:tr w14:paraId="7727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468" w:type="pct"/>
            <w:vAlign w:val="center"/>
          </w:tcPr>
          <w:p w14:paraId="7B18455B">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硕士</w:t>
            </w:r>
          </w:p>
        </w:tc>
        <w:tc>
          <w:tcPr>
            <w:tcW w:w="2531" w:type="pct"/>
            <w:vAlign w:val="center"/>
          </w:tcPr>
          <w:p w14:paraId="300DC414">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20000 元/年</w:t>
            </w:r>
          </w:p>
        </w:tc>
      </w:tr>
    </w:tbl>
    <w:p w14:paraId="207FC96C">
      <w:pPr>
        <w:spacing w:beforeLines="50"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奖励指标以当年上级部门下达通知为准。</w:t>
      </w:r>
    </w:p>
    <w:p w14:paraId="3A3BB05F">
      <w:pPr>
        <w:spacing w:beforeLines="50" w:line="560" w:lineRule="exact"/>
        <w:ind w:firstLine="643"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第六条</w:t>
      </w:r>
      <w:r>
        <w:rPr>
          <w:rFonts w:hint="eastAsia" w:ascii="仿宋_GB2312" w:hAnsi="仿宋" w:eastAsia="仿宋_GB2312" w:cs="仿宋"/>
          <w:sz w:val="32"/>
          <w:szCs w:val="32"/>
          <w:highlight w:val="none"/>
        </w:rPr>
        <w:t xml:space="preserve"> 学业奖学金</w:t>
      </w:r>
    </w:p>
    <w:p w14:paraId="1F36C323">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（一）一年级学业奖学金</w:t>
      </w:r>
    </w:p>
    <w:tbl>
      <w:tblPr>
        <w:tblStyle w:val="6"/>
        <w:tblW w:w="7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2055"/>
        <w:gridCol w:w="3997"/>
      </w:tblGrid>
      <w:tr w14:paraId="0EEB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4" w:type="dxa"/>
            <w:gridSpan w:val="2"/>
          </w:tcPr>
          <w:p w14:paraId="331BC2DA">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类别/等级</w:t>
            </w:r>
          </w:p>
        </w:tc>
        <w:tc>
          <w:tcPr>
            <w:tcW w:w="3997" w:type="dxa"/>
            <w:vAlign w:val="center"/>
          </w:tcPr>
          <w:p w14:paraId="5566547E">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奖励标准</w:t>
            </w:r>
          </w:p>
        </w:tc>
      </w:tr>
      <w:tr w14:paraId="304F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9" w:type="dxa"/>
            <w:vMerge w:val="restart"/>
          </w:tcPr>
          <w:p w14:paraId="680315A6">
            <w:pPr>
              <w:spacing w:line="560" w:lineRule="exact"/>
              <w:jc w:val="center"/>
              <w:rPr>
                <w:rFonts w:ascii="仿宋" w:hAnsi="仿宋" w:eastAsia="仿宋" w:cs="仿宋"/>
                <w:sz w:val="32"/>
                <w:szCs w:val="32"/>
                <w:highlight w:val="none"/>
              </w:rPr>
            </w:pPr>
          </w:p>
          <w:p w14:paraId="06082284">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硕士</w:t>
            </w:r>
          </w:p>
        </w:tc>
        <w:tc>
          <w:tcPr>
            <w:tcW w:w="2055" w:type="dxa"/>
            <w:vAlign w:val="center"/>
          </w:tcPr>
          <w:p w14:paraId="237F4AA1">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一等奖</w:t>
            </w:r>
          </w:p>
        </w:tc>
        <w:tc>
          <w:tcPr>
            <w:tcW w:w="3997" w:type="dxa"/>
            <w:vAlign w:val="center"/>
          </w:tcPr>
          <w:p w14:paraId="3BF7C318">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15</w:t>
            </w:r>
            <w:r>
              <w:rPr>
                <w:rFonts w:ascii="仿宋" w:hAnsi="仿宋" w:eastAsia="仿宋" w:cs="仿宋"/>
                <w:sz w:val="32"/>
                <w:szCs w:val="32"/>
                <w:highlight w:val="none"/>
              </w:rPr>
              <w:t>000</w:t>
            </w:r>
            <w:r>
              <w:rPr>
                <w:rFonts w:hint="eastAsia" w:ascii="仿宋" w:hAnsi="仿宋" w:eastAsia="仿宋" w:cs="仿宋"/>
                <w:sz w:val="32"/>
                <w:szCs w:val="32"/>
                <w:highlight w:val="none"/>
              </w:rPr>
              <w:t xml:space="preserve"> 元/生</w:t>
            </w:r>
          </w:p>
        </w:tc>
      </w:tr>
      <w:tr w14:paraId="23A1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49" w:type="dxa"/>
            <w:vMerge w:val="continue"/>
          </w:tcPr>
          <w:p w14:paraId="62F619C2">
            <w:pPr>
              <w:spacing w:line="560" w:lineRule="exact"/>
              <w:jc w:val="center"/>
              <w:rPr>
                <w:rFonts w:ascii="仿宋" w:hAnsi="仿宋" w:eastAsia="仿宋" w:cs="仿宋"/>
                <w:sz w:val="32"/>
                <w:szCs w:val="32"/>
                <w:highlight w:val="none"/>
              </w:rPr>
            </w:pPr>
          </w:p>
        </w:tc>
        <w:tc>
          <w:tcPr>
            <w:tcW w:w="2055" w:type="dxa"/>
            <w:vAlign w:val="center"/>
          </w:tcPr>
          <w:p w14:paraId="2C80859E">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二等奖</w:t>
            </w:r>
          </w:p>
        </w:tc>
        <w:tc>
          <w:tcPr>
            <w:tcW w:w="3997" w:type="dxa"/>
            <w:vAlign w:val="center"/>
          </w:tcPr>
          <w:p w14:paraId="05F255AF">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10</w:t>
            </w:r>
            <w:r>
              <w:rPr>
                <w:rFonts w:ascii="仿宋" w:hAnsi="仿宋" w:eastAsia="仿宋" w:cs="仿宋"/>
                <w:sz w:val="32"/>
                <w:szCs w:val="32"/>
                <w:highlight w:val="none"/>
              </w:rPr>
              <w:t>000</w:t>
            </w:r>
            <w:r>
              <w:rPr>
                <w:rFonts w:hint="eastAsia" w:ascii="仿宋" w:hAnsi="仿宋" w:eastAsia="仿宋" w:cs="仿宋"/>
                <w:sz w:val="32"/>
                <w:szCs w:val="32"/>
                <w:highlight w:val="none"/>
              </w:rPr>
              <w:t xml:space="preserve"> 元/生</w:t>
            </w:r>
          </w:p>
        </w:tc>
      </w:tr>
      <w:tr w14:paraId="24DF2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49" w:type="dxa"/>
            <w:vMerge w:val="continue"/>
          </w:tcPr>
          <w:p w14:paraId="25B413BF">
            <w:pPr>
              <w:spacing w:line="560" w:lineRule="exact"/>
              <w:jc w:val="center"/>
              <w:rPr>
                <w:rFonts w:ascii="仿宋" w:hAnsi="仿宋" w:eastAsia="仿宋" w:cs="仿宋"/>
                <w:sz w:val="32"/>
                <w:szCs w:val="32"/>
                <w:highlight w:val="none"/>
              </w:rPr>
            </w:pPr>
          </w:p>
        </w:tc>
        <w:tc>
          <w:tcPr>
            <w:tcW w:w="2055" w:type="dxa"/>
            <w:vAlign w:val="center"/>
          </w:tcPr>
          <w:p w14:paraId="52A05247">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三等奖</w:t>
            </w:r>
          </w:p>
        </w:tc>
        <w:tc>
          <w:tcPr>
            <w:tcW w:w="3997" w:type="dxa"/>
            <w:vAlign w:val="center"/>
          </w:tcPr>
          <w:p w14:paraId="15D039B7">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8000 元/生</w:t>
            </w:r>
          </w:p>
        </w:tc>
      </w:tr>
    </w:tbl>
    <w:p w14:paraId="2008143E">
      <w:pPr>
        <w:spacing w:line="560" w:lineRule="exact"/>
        <w:ind w:firstLine="640" w:firstLineChars="200"/>
        <w:rPr>
          <w:rFonts w:ascii="仿宋_GB2312" w:hAnsi="仿宋" w:eastAsia="仿宋_GB2312" w:cs="仿宋"/>
          <w:sz w:val="32"/>
          <w:szCs w:val="32"/>
          <w:highlight w:val="none"/>
        </w:rPr>
      </w:pPr>
      <w:bookmarkStart w:id="17" w:name="_Hlk69220766"/>
      <w:r>
        <w:rPr>
          <w:rFonts w:hint="eastAsia" w:ascii="仿宋" w:hAnsi="仿宋" w:eastAsia="仿宋" w:cs="仿宋"/>
          <w:sz w:val="32"/>
          <w:szCs w:val="32"/>
          <w:highlight w:val="none"/>
        </w:rPr>
        <w:t>奖励比例原则上不超过当年研究生新生总数的40%。</w:t>
      </w:r>
      <w:bookmarkEnd w:id="17"/>
    </w:p>
    <w:p w14:paraId="15095DBD">
      <w:pPr>
        <w:numPr>
          <w:ilvl w:val="0"/>
          <w:numId w:val="1"/>
        </w:num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二、三年级学业奖学金</w:t>
      </w:r>
    </w:p>
    <w:tbl>
      <w:tblPr>
        <w:tblStyle w:val="6"/>
        <w:tblW w:w="7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635"/>
        <w:gridCol w:w="2802"/>
        <w:gridCol w:w="1731"/>
      </w:tblGrid>
      <w:tr w14:paraId="24DB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71" w:type="dxa"/>
          </w:tcPr>
          <w:p w14:paraId="53141937">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类别</w:t>
            </w:r>
          </w:p>
        </w:tc>
        <w:tc>
          <w:tcPr>
            <w:tcW w:w="1635" w:type="dxa"/>
            <w:vAlign w:val="center"/>
          </w:tcPr>
          <w:p w14:paraId="74D71C28">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等级</w:t>
            </w:r>
          </w:p>
        </w:tc>
        <w:tc>
          <w:tcPr>
            <w:tcW w:w="2802" w:type="dxa"/>
            <w:vAlign w:val="center"/>
          </w:tcPr>
          <w:p w14:paraId="078C2606">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奖励标准</w:t>
            </w:r>
          </w:p>
        </w:tc>
        <w:tc>
          <w:tcPr>
            <w:tcW w:w="1731" w:type="dxa"/>
            <w:vAlign w:val="center"/>
          </w:tcPr>
          <w:p w14:paraId="32165FDB">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奖励比例</w:t>
            </w:r>
          </w:p>
        </w:tc>
      </w:tr>
      <w:tr w14:paraId="1893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71" w:type="dxa"/>
            <w:vMerge w:val="restart"/>
            <w:tcBorders>
              <w:top w:val="single" w:color="auto" w:sz="4" w:space="0"/>
              <w:left w:val="single" w:color="auto" w:sz="4" w:space="0"/>
              <w:right w:val="single" w:color="auto" w:sz="4" w:space="0"/>
            </w:tcBorders>
          </w:tcPr>
          <w:p w14:paraId="58F42704">
            <w:pPr>
              <w:spacing w:line="560" w:lineRule="exact"/>
              <w:jc w:val="center"/>
              <w:rPr>
                <w:rFonts w:ascii="仿宋" w:hAnsi="仿宋" w:eastAsia="仿宋" w:cs="仿宋"/>
                <w:sz w:val="32"/>
                <w:szCs w:val="32"/>
                <w:highlight w:val="none"/>
              </w:rPr>
            </w:pPr>
          </w:p>
          <w:p w14:paraId="2E4F10A1">
            <w:pPr>
              <w:spacing w:line="560" w:lineRule="exact"/>
              <w:jc w:val="center"/>
              <w:rPr>
                <w:rFonts w:ascii="仿宋" w:hAnsi="仿宋" w:eastAsia="仿宋" w:cs="仿宋"/>
                <w:sz w:val="32"/>
                <w:szCs w:val="32"/>
                <w:highlight w:val="none"/>
              </w:rPr>
            </w:pPr>
          </w:p>
          <w:p w14:paraId="5C7CD41E">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硕士</w:t>
            </w:r>
          </w:p>
        </w:tc>
        <w:tc>
          <w:tcPr>
            <w:tcW w:w="1635" w:type="dxa"/>
            <w:tcBorders>
              <w:top w:val="single" w:color="auto" w:sz="4" w:space="0"/>
              <w:left w:val="single" w:color="auto" w:sz="4" w:space="0"/>
              <w:bottom w:val="single" w:color="auto" w:sz="4" w:space="0"/>
              <w:right w:val="single" w:color="auto" w:sz="4" w:space="0"/>
            </w:tcBorders>
            <w:vAlign w:val="center"/>
          </w:tcPr>
          <w:p w14:paraId="4369E2CF">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特等奖</w:t>
            </w:r>
          </w:p>
        </w:tc>
        <w:tc>
          <w:tcPr>
            <w:tcW w:w="2802" w:type="dxa"/>
            <w:tcBorders>
              <w:top w:val="single" w:color="auto" w:sz="4" w:space="0"/>
              <w:left w:val="single" w:color="auto" w:sz="4" w:space="0"/>
              <w:bottom w:val="single" w:color="auto" w:sz="4" w:space="0"/>
              <w:right w:val="single" w:color="auto" w:sz="4" w:space="0"/>
            </w:tcBorders>
            <w:vAlign w:val="center"/>
          </w:tcPr>
          <w:p w14:paraId="033F1494">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15000元/年</w:t>
            </w:r>
          </w:p>
        </w:tc>
        <w:tc>
          <w:tcPr>
            <w:tcW w:w="1731" w:type="dxa"/>
            <w:tcBorders>
              <w:top w:val="single" w:color="auto" w:sz="4" w:space="0"/>
              <w:left w:val="single" w:color="auto" w:sz="4" w:space="0"/>
              <w:bottom w:val="single" w:color="auto" w:sz="4" w:space="0"/>
              <w:right w:val="single" w:color="auto" w:sz="4" w:space="0"/>
            </w:tcBorders>
            <w:vAlign w:val="center"/>
          </w:tcPr>
          <w:p w14:paraId="56948EF0">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≤3%</w:t>
            </w:r>
          </w:p>
        </w:tc>
      </w:tr>
      <w:tr w14:paraId="4280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71" w:type="dxa"/>
            <w:vMerge w:val="continue"/>
            <w:tcBorders>
              <w:left w:val="single" w:color="auto" w:sz="4" w:space="0"/>
              <w:right w:val="single" w:color="auto" w:sz="4" w:space="0"/>
            </w:tcBorders>
          </w:tcPr>
          <w:p w14:paraId="287F2FD0">
            <w:pPr>
              <w:spacing w:line="560" w:lineRule="exact"/>
              <w:jc w:val="center"/>
              <w:rPr>
                <w:rFonts w:ascii="仿宋" w:hAnsi="仿宋" w:eastAsia="仿宋" w:cs="仿宋"/>
                <w:sz w:val="32"/>
                <w:szCs w:val="32"/>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43F8D980">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一等奖</w:t>
            </w:r>
          </w:p>
        </w:tc>
        <w:tc>
          <w:tcPr>
            <w:tcW w:w="2802" w:type="dxa"/>
            <w:tcBorders>
              <w:top w:val="single" w:color="auto" w:sz="4" w:space="0"/>
              <w:left w:val="single" w:color="auto" w:sz="4" w:space="0"/>
              <w:bottom w:val="single" w:color="auto" w:sz="4" w:space="0"/>
              <w:right w:val="single" w:color="auto" w:sz="4" w:space="0"/>
            </w:tcBorders>
            <w:vAlign w:val="center"/>
          </w:tcPr>
          <w:p w14:paraId="65CC4AFF">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10000 元/年</w:t>
            </w:r>
          </w:p>
        </w:tc>
        <w:tc>
          <w:tcPr>
            <w:tcW w:w="1731" w:type="dxa"/>
            <w:tcBorders>
              <w:top w:val="single" w:color="auto" w:sz="4" w:space="0"/>
              <w:left w:val="single" w:color="auto" w:sz="4" w:space="0"/>
              <w:bottom w:val="single" w:color="auto" w:sz="4" w:space="0"/>
              <w:right w:val="single" w:color="auto" w:sz="4" w:space="0"/>
            </w:tcBorders>
            <w:vAlign w:val="center"/>
          </w:tcPr>
          <w:p w14:paraId="01C354F2">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≤5%</w:t>
            </w:r>
          </w:p>
        </w:tc>
      </w:tr>
      <w:tr w14:paraId="4F77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71" w:type="dxa"/>
            <w:vMerge w:val="continue"/>
            <w:tcBorders>
              <w:left w:val="single" w:color="auto" w:sz="4" w:space="0"/>
              <w:right w:val="single" w:color="auto" w:sz="4" w:space="0"/>
            </w:tcBorders>
          </w:tcPr>
          <w:p w14:paraId="725DC214">
            <w:pPr>
              <w:spacing w:line="560" w:lineRule="exact"/>
              <w:jc w:val="center"/>
              <w:rPr>
                <w:rFonts w:ascii="仿宋" w:hAnsi="仿宋" w:eastAsia="仿宋" w:cs="仿宋"/>
                <w:sz w:val="32"/>
                <w:szCs w:val="32"/>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36F4ABFE">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二等奖</w:t>
            </w:r>
          </w:p>
        </w:tc>
        <w:tc>
          <w:tcPr>
            <w:tcW w:w="2802" w:type="dxa"/>
            <w:tcBorders>
              <w:top w:val="single" w:color="auto" w:sz="4" w:space="0"/>
              <w:left w:val="single" w:color="auto" w:sz="4" w:space="0"/>
              <w:bottom w:val="single" w:color="auto" w:sz="4" w:space="0"/>
              <w:right w:val="single" w:color="auto" w:sz="4" w:space="0"/>
            </w:tcBorders>
            <w:vAlign w:val="center"/>
          </w:tcPr>
          <w:p w14:paraId="41F35015">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8000 元/年</w:t>
            </w:r>
          </w:p>
        </w:tc>
        <w:tc>
          <w:tcPr>
            <w:tcW w:w="1731" w:type="dxa"/>
            <w:tcBorders>
              <w:top w:val="single" w:color="auto" w:sz="4" w:space="0"/>
              <w:left w:val="single" w:color="auto" w:sz="4" w:space="0"/>
              <w:bottom w:val="single" w:color="auto" w:sz="4" w:space="0"/>
              <w:right w:val="single" w:color="auto" w:sz="4" w:space="0"/>
            </w:tcBorders>
            <w:vAlign w:val="center"/>
          </w:tcPr>
          <w:p w14:paraId="38BEAD19">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≤15%</w:t>
            </w:r>
          </w:p>
        </w:tc>
      </w:tr>
      <w:tr w14:paraId="7745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71" w:type="dxa"/>
            <w:vMerge w:val="continue"/>
            <w:tcBorders>
              <w:left w:val="single" w:color="auto" w:sz="4" w:space="0"/>
              <w:right w:val="single" w:color="auto" w:sz="4" w:space="0"/>
            </w:tcBorders>
          </w:tcPr>
          <w:p w14:paraId="687CB1A6">
            <w:pPr>
              <w:spacing w:line="560" w:lineRule="exact"/>
              <w:jc w:val="center"/>
              <w:rPr>
                <w:rFonts w:ascii="仿宋" w:hAnsi="仿宋" w:eastAsia="仿宋" w:cs="仿宋"/>
                <w:sz w:val="32"/>
                <w:szCs w:val="32"/>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0056AE8F">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三等奖</w:t>
            </w:r>
          </w:p>
        </w:tc>
        <w:tc>
          <w:tcPr>
            <w:tcW w:w="2802" w:type="dxa"/>
            <w:tcBorders>
              <w:top w:val="single" w:color="auto" w:sz="4" w:space="0"/>
              <w:left w:val="single" w:color="auto" w:sz="4" w:space="0"/>
              <w:bottom w:val="single" w:color="auto" w:sz="4" w:space="0"/>
              <w:right w:val="single" w:color="auto" w:sz="4" w:space="0"/>
            </w:tcBorders>
            <w:vAlign w:val="center"/>
          </w:tcPr>
          <w:p w14:paraId="1EE55CBD">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6000 元/年</w:t>
            </w:r>
          </w:p>
        </w:tc>
        <w:tc>
          <w:tcPr>
            <w:tcW w:w="1731" w:type="dxa"/>
            <w:tcBorders>
              <w:top w:val="single" w:color="auto" w:sz="4" w:space="0"/>
              <w:left w:val="single" w:color="auto" w:sz="4" w:space="0"/>
              <w:bottom w:val="single" w:color="auto" w:sz="4" w:space="0"/>
              <w:right w:val="single" w:color="auto" w:sz="4" w:space="0"/>
            </w:tcBorders>
            <w:vAlign w:val="center"/>
          </w:tcPr>
          <w:p w14:paraId="0245BCF0">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≤25%</w:t>
            </w:r>
          </w:p>
        </w:tc>
      </w:tr>
      <w:tr w14:paraId="0A25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71" w:type="dxa"/>
            <w:vMerge w:val="continue"/>
            <w:tcBorders>
              <w:left w:val="single" w:color="auto" w:sz="4" w:space="0"/>
              <w:right w:val="single" w:color="auto" w:sz="4" w:space="0"/>
            </w:tcBorders>
          </w:tcPr>
          <w:p w14:paraId="441A598F">
            <w:pPr>
              <w:spacing w:line="560" w:lineRule="exact"/>
              <w:jc w:val="center"/>
              <w:rPr>
                <w:rFonts w:ascii="仿宋" w:hAnsi="仿宋" w:eastAsia="仿宋" w:cs="仿宋"/>
                <w:sz w:val="32"/>
                <w:szCs w:val="32"/>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397488CD">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单项奖</w:t>
            </w:r>
          </w:p>
        </w:tc>
        <w:tc>
          <w:tcPr>
            <w:tcW w:w="2802" w:type="dxa"/>
            <w:tcBorders>
              <w:top w:val="single" w:color="auto" w:sz="4" w:space="0"/>
              <w:left w:val="single" w:color="auto" w:sz="4" w:space="0"/>
              <w:bottom w:val="single" w:color="auto" w:sz="4" w:space="0"/>
              <w:right w:val="single" w:color="auto" w:sz="4" w:space="0"/>
            </w:tcBorders>
            <w:vAlign w:val="center"/>
          </w:tcPr>
          <w:p w14:paraId="513996AD">
            <w:pPr>
              <w:spacing w:line="56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 xml:space="preserve">3000 </w:t>
            </w:r>
            <w:r>
              <w:rPr>
                <w:rFonts w:hint="eastAsia" w:ascii="仿宋" w:hAnsi="仿宋" w:eastAsia="仿宋" w:cs="仿宋"/>
                <w:sz w:val="32"/>
                <w:szCs w:val="32"/>
                <w:highlight w:val="none"/>
                <w:lang w:eastAsia="zh-CN"/>
              </w:rPr>
              <w:t>元</w:t>
            </w:r>
            <w:r>
              <w:rPr>
                <w:rFonts w:hint="eastAsia" w:ascii="仿宋" w:hAnsi="仿宋" w:eastAsia="仿宋" w:cs="仿宋"/>
                <w:sz w:val="32"/>
                <w:szCs w:val="32"/>
                <w:highlight w:val="none"/>
              </w:rPr>
              <w:t>/年</w:t>
            </w:r>
          </w:p>
        </w:tc>
        <w:tc>
          <w:tcPr>
            <w:tcW w:w="1731" w:type="dxa"/>
            <w:tcBorders>
              <w:top w:val="single" w:color="auto" w:sz="4" w:space="0"/>
              <w:left w:val="single" w:color="auto" w:sz="4" w:space="0"/>
              <w:bottom w:val="single" w:color="auto" w:sz="4" w:space="0"/>
              <w:right w:val="single" w:color="auto" w:sz="4" w:space="0"/>
            </w:tcBorders>
            <w:vAlign w:val="center"/>
          </w:tcPr>
          <w:p w14:paraId="63FF9FC7">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≤3%</w:t>
            </w:r>
          </w:p>
        </w:tc>
      </w:tr>
    </w:tbl>
    <w:p w14:paraId="426EBE05">
      <w:pPr>
        <w:spacing w:line="560" w:lineRule="exact"/>
        <w:ind w:firstLine="320" w:firstLineChars="100"/>
        <w:rPr>
          <w:rFonts w:ascii="仿宋" w:hAnsi="仿宋" w:eastAsia="仿宋" w:cs="仿宋"/>
          <w:sz w:val="32"/>
          <w:szCs w:val="32"/>
          <w:highlight w:val="none"/>
        </w:rPr>
      </w:pPr>
      <w:bookmarkStart w:id="18" w:name="_Toc6592_WPSOffice_Level2"/>
      <w:bookmarkStart w:id="19" w:name="_Toc29826_WPSOffice_Level1"/>
      <w:bookmarkStart w:id="20" w:name="_Toc20076_WPSOffice_Level2"/>
      <w:bookmarkStart w:id="21" w:name="_Toc30286_WPSOffice_Level2"/>
      <w:r>
        <w:rPr>
          <w:rFonts w:hint="eastAsia" w:ascii="仿宋" w:hAnsi="仿宋" w:eastAsia="仿宋" w:cs="仿宋"/>
          <w:sz w:val="32"/>
          <w:szCs w:val="32"/>
          <w:highlight w:val="none"/>
        </w:rPr>
        <w:t>奖励标准及指标以当年上级部门下达通知为准。</w:t>
      </w:r>
    </w:p>
    <w:p w14:paraId="31EC7411">
      <w:pPr>
        <w:spacing w:line="560" w:lineRule="exact"/>
        <w:ind w:firstLine="320" w:firstLineChars="100"/>
        <w:rPr>
          <w:rFonts w:ascii="仿宋" w:hAnsi="仿宋" w:eastAsia="仿宋" w:cs="仿宋"/>
          <w:sz w:val="32"/>
          <w:szCs w:val="32"/>
          <w:highlight w:val="none"/>
        </w:rPr>
      </w:pPr>
    </w:p>
    <w:p w14:paraId="1A64B341">
      <w:pPr>
        <w:spacing w:line="560" w:lineRule="exact"/>
        <w:ind w:firstLine="640" w:firstLineChars="200"/>
        <w:jc w:val="center"/>
        <w:rPr>
          <w:rFonts w:ascii="仿宋_GB2312" w:hAnsi="仿宋" w:eastAsia="仿宋_GB2312" w:cs="仿宋"/>
          <w:sz w:val="32"/>
          <w:szCs w:val="32"/>
          <w:highlight w:val="none"/>
        </w:rPr>
      </w:pPr>
      <w:r>
        <w:rPr>
          <w:rFonts w:hint="eastAsia" w:ascii="黑体" w:hAnsi="黑体" w:eastAsia="黑体" w:cs="仿宋"/>
          <w:sz w:val="32"/>
          <w:szCs w:val="32"/>
          <w:highlight w:val="none"/>
        </w:rPr>
        <w:t>第三章 申请条件</w:t>
      </w:r>
      <w:bookmarkEnd w:id="18"/>
      <w:bookmarkEnd w:id="19"/>
      <w:bookmarkEnd w:id="20"/>
      <w:bookmarkEnd w:id="21"/>
    </w:p>
    <w:p w14:paraId="1424E7EF">
      <w:pPr>
        <w:spacing w:line="560" w:lineRule="exact"/>
        <w:ind w:firstLine="643"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第七条 研究生奖学金的申请材料认定时间：</w:t>
      </w:r>
    </w:p>
    <w:p w14:paraId="28483001">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1</w:t>
      </w:r>
      <w:r>
        <w:rPr>
          <w:rFonts w:ascii="仿宋_GB2312" w:hAnsi="仿宋" w:eastAsia="仿宋_GB2312" w:cs="仿宋"/>
          <w:sz w:val="32"/>
          <w:szCs w:val="32"/>
          <w:highlight w:val="none"/>
        </w:rPr>
        <w:t>.</w:t>
      </w:r>
      <w:r>
        <w:rPr>
          <w:rFonts w:hint="eastAsia" w:ascii="仿宋_GB2312" w:hAnsi="仿宋" w:eastAsia="仿宋_GB2312" w:cs="仿宋"/>
          <w:sz w:val="32"/>
          <w:szCs w:val="32"/>
          <w:highlight w:val="none"/>
        </w:rPr>
        <w:t>一年级研究生</w:t>
      </w:r>
      <w:r>
        <w:rPr>
          <w:rFonts w:ascii="仿宋_GB2312" w:hAnsi="仿宋" w:eastAsia="仿宋_GB2312" w:cs="仿宋"/>
          <w:sz w:val="32"/>
          <w:szCs w:val="32"/>
          <w:highlight w:val="none"/>
        </w:rPr>
        <w:t>申请</w:t>
      </w:r>
      <w:r>
        <w:rPr>
          <w:rFonts w:hint="eastAsia" w:ascii="仿宋_GB2312" w:hAnsi="仿宋" w:eastAsia="仿宋_GB2312" w:cs="仿宋"/>
          <w:sz w:val="32"/>
          <w:szCs w:val="32"/>
          <w:highlight w:val="none"/>
        </w:rPr>
        <w:t>所用</w:t>
      </w:r>
      <w:r>
        <w:rPr>
          <w:rFonts w:ascii="仿宋_GB2312" w:hAnsi="仿宋" w:eastAsia="仿宋_GB2312" w:cs="仿宋"/>
          <w:sz w:val="32"/>
          <w:szCs w:val="32"/>
          <w:highlight w:val="none"/>
        </w:rPr>
        <w:t>材料</w:t>
      </w:r>
      <w:r>
        <w:rPr>
          <w:rFonts w:hint="eastAsia" w:ascii="仿宋_GB2312" w:hAnsi="仿宋" w:eastAsia="仿宋_GB2312" w:cs="仿宋"/>
          <w:sz w:val="32"/>
          <w:szCs w:val="32"/>
          <w:highlight w:val="none"/>
        </w:rPr>
        <w:t>须为入学之前取得；</w:t>
      </w:r>
    </w:p>
    <w:p w14:paraId="2675B6FA">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2.二年级研究生申请材料的认定时间为上一学年度的9月1日至参评当年的8月31日；</w:t>
      </w:r>
    </w:p>
    <w:p w14:paraId="4082D734">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3.三年级研究生国家奖学金申请材料的认定时间为上一学年度的9月1日至参评当年的8月31日；学业奖学金申请材料的认定时间为上一学年度的9月1日至参评当年的3月31日。</w:t>
      </w:r>
    </w:p>
    <w:p w14:paraId="00F62866">
      <w:pPr>
        <w:spacing w:line="560" w:lineRule="exact"/>
        <w:ind w:firstLine="643"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第八条</w:t>
      </w:r>
      <w:r>
        <w:rPr>
          <w:rFonts w:hint="eastAsia" w:ascii="仿宋_GB2312" w:hAnsi="仿宋" w:eastAsia="仿宋_GB2312" w:cs="仿宋"/>
          <w:sz w:val="32"/>
          <w:szCs w:val="32"/>
          <w:highlight w:val="none"/>
        </w:rPr>
        <w:t xml:space="preserve"> 研究生奖学金的申请条件：</w:t>
      </w:r>
    </w:p>
    <w:p w14:paraId="0FDBA485">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 xml:space="preserve">1.拥护中国共产党领导，认真学习马克思列宁主义、毛泽东思想、邓小平理论、“三个代表”重要思想、科学发展观、习近平新时代中国特色社会主义思想； </w:t>
      </w:r>
    </w:p>
    <w:p w14:paraId="63F0B7FC">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2.遵守中华人民共和国宪法和法律，遵守学校规章制度；</w:t>
      </w:r>
    </w:p>
    <w:p w14:paraId="384C8929">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3.申请奖学金的研究生须具有中华人民共和国国籍；</w:t>
      </w:r>
    </w:p>
    <w:p w14:paraId="4981EBB1">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4.具有贵州大学研究生学籍；</w:t>
      </w:r>
    </w:p>
    <w:p w14:paraId="509D32DF">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5.诚实守信，品学兼优，积极参与科学研究、社会实践和社会公益活动；</w:t>
      </w:r>
    </w:p>
    <w:p w14:paraId="63D4D45E">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6.按时完成研究生个人培养计划各阶段规定的内容和环节，无补考、重修;</w:t>
      </w:r>
    </w:p>
    <w:p w14:paraId="5711E4CB">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7.评定学年度中有下列情况之一者，取消其奖学金评定资格:</w:t>
      </w:r>
    </w:p>
    <w:p w14:paraId="0D54DB41">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（1）有不诚信行为、学术不端行为者；</w:t>
      </w:r>
    </w:p>
    <w:p w14:paraId="1D2C9C0B">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（2）在学校规定时间内未足额缴纳学费或未按时完成学籍、学年报到注册者；</w:t>
      </w:r>
    </w:p>
    <w:p w14:paraId="609184BD">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（3）评选学年度休学、退学及其他学籍异动者；</w:t>
      </w:r>
    </w:p>
    <w:p w14:paraId="67416021">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（4）评选时违纪处分尚未解除者；</w:t>
      </w:r>
    </w:p>
    <w:p w14:paraId="7EE893EA">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（5）评选学年度考试不合格者；</w:t>
      </w:r>
    </w:p>
    <w:p w14:paraId="4088CED7">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（6）未经批准不按时报到注册或擅自离校者；</w:t>
      </w:r>
    </w:p>
    <w:p w14:paraId="795E1BF1">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（7）其他不得参评的情形；</w:t>
      </w:r>
    </w:p>
    <w:p w14:paraId="2DA750F4">
      <w:pPr>
        <w:spacing w:line="560" w:lineRule="exact"/>
        <w:ind w:firstLine="643"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 xml:space="preserve">第九条 </w:t>
      </w:r>
      <w:r>
        <w:rPr>
          <w:rFonts w:hint="eastAsia" w:ascii="仿宋_GB2312" w:hAnsi="仿宋" w:eastAsia="仿宋_GB2312" w:cs="仿宋"/>
          <w:sz w:val="32"/>
          <w:szCs w:val="32"/>
          <w:highlight w:val="none"/>
        </w:rPr>
        <w:t>特等奖学金主要奖励：特等奖学金主要奖励取得高水平学术成果、获得国家级学科竞赛奖、做出突出社会贡献的研究生。申请者需符合《贵州大学</w:t>
      </w:r>
      <w:r>
        <w:rPr>
          <w:rFonts w:hint="eastAsia" w:ascii="仿宋_GB2312" w:hAnsi="仿宋" w:eastAsia="仿宋_GB2312" w:cs="仿宋"/>
          <w:sz w:val="32"/>
          <w:szCs w:val="32"/>
          <w:highlight w:val="none"/>
          <w:lang w:eastAsia="zh-CN"/>
        </w:rPr>
        <w:t>公共管理学院</w:t>
      </w:r>
      <w:r>
        <w:rPr>
          <w:rFonts w:hint="eastAsia" w:ascii="仿宋_GB2312" w:hAnsi="仿宋" w:eastAsia="仿宋_GB2312" w:cs="仿宋"/>
          <w:sz w:val="32"/>
          <w:szCs w:val="32"/>
          <w:highlight w:val="none"/>
        </w:rPr>
        <w:t>研究生特等奖学金申报条件》的要求。</w:t>
      </w:r>
    </w:p>
    <w:p w14:paraId="65F53B19">
      <w:pPr>
        <w:spacing w:line="560" w:lineRule="exact"/>
        <w:ind w:firstLine="643"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第十条</w:t>
      </w:r>
      <w:r>
        <w:rPr>
          <w:rFonts w:hint="eastAsia" w:ascii="仿宋_GB2312" w:hAnsi="仿宋" w:eastAsia="仿宋_GB2312" w:cs="仿宋"/>
          <w:sz w:val="32"/>
          <w:szCs w:val="32"/>
          <w:highlight w:val="none"/>
        </w:rPr>
        <w:t xml:space="preserve"> 单项奖学金主要奖励：单项奖学金主要奖励践行习近平新时代中国特色社会主义思想有成效，服务贵州地方经济社会发展有贡献，开展社会活动和参加社会工作有成绩，创新创业有成果的研究生。申请者需满足《贵州大学研究生单项奖学金评定细则》的要求。</w:t>
      </w:r>
    </w:p>
    <w:p w14:paraId="4145A295">
      <w:pPr>
        <w:spacing w:line="560" w:lineRule="exact"/>
        <w:ind w:firstLine="643"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 xml:space="preserve">第十一条 </w:t>
      </w:r>
      <w:r>
        <w:rPr>
          <w:rFonts w:hint="eastAsia" w:ascii="仿宋_GB2312" w:hAnsi="仿宋" w:eastAsia="仿宋_GB2312" w:cs="仿宋"/>
          <w:sz w:val="32"/>
          <w:szCs w:val="32"/>
          <w:highlight w:val="none"/>
        </w:rPr>
        <w:t>国家奖学金原则上优先评选高年级研究生，已获得过研究生国家奖学金的学生不再参与评选国奖。已获得国家奖学金的研究生原则上不再参加同年度学业奖学金评定（单项奖除外），为奖励科研成果比较突出的学生，对三年级的研究生，在国奖评审后又有新的科研成果且符合特等奖学金评定条件的，可以申请特等奖学金。</w:t>
      </w:r>
    </w:p>
    <w:p w14:paraId="7BA85466">
      <w:pPr>
        <w:spacing w:line="560" w:lineRule="exact"/>
        <w:jc w:val="center"/>
        <w:rPr>
          <w:rFonts w:ascii="黑体" w:hAnsi="黑体" w:eastAsia="黑体" w:cs="仿宋"/>
          <w:b/>
          <w:bCs/>
          <w:sz w:val="32"/>
          <w:szCs w:val="32"/>
          <w:highlight w:val="none"/>
        </w:rPr>
      </w:pPr>
    </w:p>
    <w:p w14:paraId="44697B63">
      <w:pPr>
        <w:spacing w:line="560" w:lineRule="exact"/>
        <w:jc w:val="center"/>
        <w:rPr>
          <w:rFonts w:ascii="黑体" w:hAnsi="黑体" w:eastAsia="黑体" w:cs="仿宋"/>
          <w:b/>
          <w:bCs/>
          <w:sz w:val="32"/>
          <w:szCs w:val="32"/>
          <w:highlight w:val="none"/>
        </w:rPr>
      </w:pPr>
      <w:r>
        <w:rPr>
          <w:rFonts w:hint="eastAsia" w:ascii="黑体" w:hAnsi="黑体" w:eastAsia="黑体" w:cs="仿宋"/>
          <w:b/>
          <w:bCs/>
          <w:sz w:val="32"/>
          <w:szCs w:val="32"/>
          <w:highlight w:val="none"/>
        </w:rPr>
        <w:t>第四章 总成绩测评分数</w:t>
      </w:r>
      <w:bookmarkEnd w:id="14"/>
      <w:bookmarkEnd w:id="15"/>
      <w:bookmarkEnd w:id="16"/>
    </w:p>
    <w:p w14:paraId="34DEE5EC">
      <w:pPr>
        <w:spacing w:line="560" w:lineRule="exact"/>
        <w:ind w:firstLine="643"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第十二条</w:t>
      </w:r>
      <w:r>
        <w:rPr>
          <w:rFonts w:hint="eastAsia" w:ascii="仿宋_GB2312" w:hAnsi="仿宋" w:eastAsia="仿宋_GB2312" w:cs="仿宋"/>
          <w:sz w:val="32"/>
          <w:szCs w:val="32"/>
          <w:highlight w:val="none"/>
        </w:rPr>
        <w:t xml:space="preserve"> 总成绩由按德育测评、智育测评、体育测评、美育测评、劳育测评五个维度分值组成，权重及计算方法如下：</w:t>
      </w:r>
    </w:p>
    <w:p w14:paraId="1C9BA28F">
      <w:pPr>
        <w:spacing w:line="560" w:lineRule="exact"/>
        <w:ind w:firstLine="643" w:firstLineChars="200"/>
        <w:rPr>
          <w:rFonts w:ascii="仿宋_GB2312" w:hAnsi="仿宋" w:eastAsia="仿宋_GB2312" w:cs="仿宋"/>
          <w:b/>
          <w:bCs/>
          <w:sz w:val="32"/>
          <w:szCs w:val="32"/>
          <w:highlight w:val="none"/>
        </w:rPr>
      </w:pPr>
      <w:r>
        <w:rPr>
          <w:rFonts w:hint="eastAsia" w:ascii="仿宋_GB2312" w:hAnsi="仿宋" w:eastAsia="仿宋_GB2312" w:cs="仿宋"/>
          <w:b/>
          <w:bCs/>
          <w:sz w:val="32"/>
          <w:szCs w:val="32"/>
          <w:highlight w:val="none"/>
        </w:rPr>
        <w:t>1.国家奖学金计算公式：</w:t>
      </w:r>
    </w:p>
    <w:p w14:paraId="2991819E">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总分＝</w:t>
      </w:r>
      <w:r>
        <w:rPr>
          <w:rFonts w:ascii="仿宋_GB2312" w:hAnsi="仿宋" w:eastAsia="仿宋_GB2312" w:cs="仿宋"/>
          <w:sz w:val="32"/>
          <w:szCs w:val="32"/>
          <w:highlight w:val="none"/>
        </w:rPr>
        <w:t>15</w:t>
      </w:r>
      <w:r>
        <w:rPr>
          <w:rFonts w:hint="eastAsia" w:ascii="仿宋_GB2312" w:hAnsi="仿宋" w:eastAsia="仿宋_GB2312" w:cs="仿宋"/>
          <w:sz w:val="32"/>
          <w:szCs w:val="32"/>
          <w:highlight w:val="none"/>
        </w:rPr>
        <w:t>%德育测评+8</w:t>
      </w:r>
      <w:r>
        <w:rPr>
          <w:rFonts w:ascii="仿宋_GB2312" w:hAnsi="仿宋" w:eastAsia="仿宋_GB2312" w:cs="仿宋"/>
          <w:sz w:val="32"/>
          <w:szCs w:val="32"/>
          <w:highlight w:val="none"/>
        </w:rPr>
        <w:t>0</w:t>
      </w:r>
      <w:r>
        <w:rPr>
          <w:rFonts w:hint="eastAsia" w:ascii="仿宋_GB2312" w:hAnsi="仿宋" w:eastAsia="仿宋_GB2312" w:cs="仿宋"/>
          <w:sz w:val="32"/>
          <w:szCs w:val="32"/>
          <w:highlight w:val="none"/>
        </w:rPr>
        <w:t>%智育测评+</w:t>
      </w:r>
      <w:r>
        <w:rPr>
          <w:rFonts w:ascii="仿宋_GB2312" w:hAnsi="仿宋" w:eastAsia="仿宋_GB2312" w:cs="仿宋"/>
          <w:sz w:val="32"/>
          <w:szCs w:val="32"/>
          <w:highlight w:val="none"/>
        </w:rPr>
        <w:t>5</w:t>
      </w:r>
      <w:r>
        <w:rPr>
          <w:rFonts w:hint="eastAsia" w:ascii="仿宋_GB2312" w:hAnsi="仿宋" w:eastAsia="仿宋_GB2312" w:cs="仿宋"/>
          <w:sz w:val="32"/>
          <w:szCs w:val="32"/>
          <w:highlight w:val="none"/>
        </w:rPr>
        <w:t>%（3</w:t>
      </w:r>
      <w:r>
        <w:rPr>
          <w:rFonts w:ascii="仿宋_GB2312" w:hAnsi="仿宋" w:eastAsia="仿宋_GB2312" w:cs="仿宋"/>
          <w:sz w:val="32"/>
          <w:szCs w:val="32"/>
          <w:highlight w:val="none"/>
        </w:rPr>
        <w:t>0</w:t>
      </w:r>
      <w:r>
        <w:rPr>
          <w:rFonts w:hint="eastAsia" w:ascii="仿宋_GB2312" w:hAnsi="仿宋" w:eastAsia="仿宋_GB2312" w:cs="仿宋"/>
          <w:sz w:val="32"/>
          <w:szCs w:val="32"/>
          <w:highlight w:val="none"/>
        </w:rPr>
        <w:t>%体育测评+</w:t>
      </w:r>
      <w:r>
        <w:rPr>
          <w:rFonts w:ascii="仿宋_GB2312" w:hAnsi="仿宋" w:eastAsia="仿宋_GB2312" w:cs="仿宋"/>
          <w:sz w:val="32"/>
          <w:szCs w:val="32"/>
          <w:highlight w:val="none"/>
        </w:rPr>
        <w:t>30</w:t>
      </w:r>
      <w:r>
        <w:rPr>
          <w:rFonts w:hint="eastAsia" w:ascii="仿宋_GB2312" w:hAnsi="仿宋" w:eastAsia="仿宋_GB2312" w:cs="仿宋"/>
          <w:sz w:val="32"/>
          <w:szCs w:val="32"/>
          <w:highlight w:val="none"/>
        </w:rPr>
        <w:t>%美育测评+</w:t>
      </w:r>
      <w:r>
        <w:rPr>
          <w:rFonts w:ascii="仿宋_GB2312" w:hAnsi="仿宋" w:eastAsia="仿宋_GB2312" w:cs="仿宋"/>
          <w:sz w:val="32"/>
          <w:szCs w:val="32"/>
          <w:highlight w:val="none"/>
        </w:rPr>
        <w:t>40</w:t>
      </w:r>
      <w:r>
        <w:rPr>
          <w:rFonts w:hint="eastAsia" w:ascii="仿宋_GB2312" w:hAnsi="仿宋" w:eastAsia="仿宋_GB2312" w:cs="仿宋"/>
          <w:sz w:val="32"/>
          <w:szCs w:val="32"/>
          <w:highlight w:val="none"/>
        </w:rPr>
        <w:t>%劳育测评）</w:t>
      </w:r>
    </w:p>
    <w:p w14:paraId="60389E85">
      <w:pPr>
        <w:spacing w:line="560" w:lineRule="exact"/>
        <w:ind w:firstLine="643"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2.研究生学业等级奖学金：</w:t>
      </w:r>
    </w:p>
    <w:p w14:paraId="30D8FB6F">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总分=15%德育测评+70%智育测评+5%体育测评+5%美育测评+5%劳育测评</w:t>
      </w:r>
    </w:p>
    <w:p w14:paraId="5E6B804E">
      <w:pPr>
        <w:spacing w:line="560" w:lineRule="exact"/>
        <w:jc w:val="center"/>
        <w:rPr>
          <w:rFonts w:ascii="黑体" w:hAnsi="黑体" w:eastAsia="黑体" w:cs="仿宋"/>
          <w:b/>
          <w:bCs/>
          <w:sz w:val="32"/>
          <w:szCs w:val="32"/>
          <w:highlight w:val="none"/>
        </w:rPr>
      </w:pPr>
      <w:r>
        <w:rPr>
          <w:rFonts w:hint="eastAsia" w:ascii="黑体" w:hAnsi="黑体" w:eastAsia="黑体" w:cs="仿宋"/>
          <w:b/>
          <w:bCs/>
          <w:sz w:val="32"/>
          <w:szCs w:val="32"/>
          <w:highlight w:val="none"/>
        </w:rPr>
        <w:t>第五章 德育测评分数</w:t>
      </w:r>
    </w:p>
    <w:p w14:paraId="5FD48E40">
      <w:pPr>
        <w:spacing w:line="560" w:lineRule="exact"/>
        <w:ind w:firstLine="643"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第十三条</w:t>
      </w:r>
      <w:r>
        <w:rPr>
          <w:rFonts w:hint="eastAsia" w:ascii="仿宋_GB2312" w:hAnsi="仿宋" w:eastAsia="仿宋_GB2312" w:cs="仿宋"/>
          <w:sz w:val="32"/>
          <w:szCs w:val="32"/>
          <w:highlight w:val="none"/>
        </w:rPr>
        <w:t xml:space="preserve"> </w:t>
      </w:r>
      <w:r>
        <w:rPr>
          <w:rStyle w:val="10"/>
          <w:rFonts w:ascii="仿宋_GB2312" w:hAnsi="宋体" w:eastAsia="仿宋_GB2312"/>
          <w:color w:val="000000"/>
          <w:sz w:val="32"/>
          <w:szCs w:val="32"/>
          <w:highlight w:val="none"/>
        </w:rPr>
        <w:t>德育测评主要考核学生的思想政治、道德修养</w:t>
      </w:r>
      <w:r>
        <w:rPr>
          <w:rStyle w:val="10"/>
          <w:rFonts w:hint="eastAsia" w:ascii="仿宋_GB2312" w:hAnsi="宋体" w:eastAsia="仿宋_GB2312"/>
          <w:color w:val="000000"/>
          <w:sz w:val="32"/>
          <w:szCs w:val="32"/>
          <w:highlight w:val="none"/>
        </w:rPr>
        <w:t>、社会工作</w:t>
      </w:r>
      <w:r>
        <w:rPr>
          <w:rStyle w:val="10"/>
          <w:rFonts w:ascii="仿宋_GB2312" w:hAnsi="宋体" w:eastAsia="仿宋_GB2312"/>
          <w:color w:val="000000"/>
          <w:sz w:val="32"/>
          <w:szCs w:val="32"/>
          <w:highlight w:val="none"/>
        </w:rPr>
        <w:t>和</w:t>
      </w:r>
      <w:r>
        <w:rPr>
          <w:rStyle w:val="10"/>
          <w:rFonts w:hint="eastAsia" w:ascii="仿宋_GB2312" w:hAnsi="宋体" w:eastAsia="仿宋_GB2312"/>
          <w:color w:val="000000"/>
          <w:sz w:val="32"/>
          <w:szCs w:val="32"/>
          <w:highlight w:val="none"/>
        </w:rPr>
        <w:t>日常活动等表现，由管理人员评</w:t>
      </w:r>
      <w:r>
        <w:rPr>
          <w:rStyle w:val="10"/>
          <w:rFonts w:ascii="仿宋_GB2312" w:hAnsi="宋体" w:eastAsia="仿宋_GB2312"/>
          <w:color w:val="000000"/>
          <w:sz w:val="32"/>
          <w:szCs w:val="32"/>
          <w:highlight w:val="none"/>
        </w:rPr>
        <w:t>分、</w:t>
      </w:r>
      <w:r>
        <w:rPr>
          <w:rStyle w:val="10"/>
          <w:rFonts w:hint="eastAsia" w:ascii="仿宋_GB2312" w:hAnsi="宋体" w:eastAsia="仿宋_GB2312"/>
          <w:color w:val="000000"/>
          <w:sz w:val="32"/>
          <w:szCs w:val="32"/>
          <w:highlight w:val="none"/>
        </w:rPr>
        <w:t>学生互评分、活动分、</w:t>
      </w:r>
      <w:r>
        <w:rPr>
          <w:rStyle w:val="10"/>
          <w:rFonts w:ascii="仿宋_GB2312" w:hAnsi="宋体" w:eastAsia="仿宋_GB2312"/>
          <w:color w:val="000000"/>
          <w:sz w:val="32"/>
          <w:szCs w:val="32"/>
          <w:highlight w:val="none"/>
        </w:rPr>
        <w:t>奖励分和扣分组成。</w:t>
      </w:r>
      <w:r>
        <w:rPr>
          <w:rFonts w:hint="eastAsia" w:ascii="仿宋_GB2312" w:hAnsi="仿宋" w:eastAsia="仿宋_GB2312" w:cs="仿宋"/>
          <w:sz w:val="32"/>
          <w:szCs w:val="32"/>
          <w:highlight w:val="none"/>
        </w:rPr>
        <w:t>德育满分为100分，德育基础分70分，德育分低于6</w:t>
      </w:r>
      <w:r>
        <w:rPr>
          <w:rFonts w:ascii="仿宋_GB2312" w:hAnsi="仿宋" w:eastAsia="仿宋_GB2312" w:cs="仿宋"/>
          <w:sz w:val="32"/>
          <w:szCs w:val="32"/>
          <w:highlight w:val="none"/>
        </w:rPr>
        <w:t>0</w:t>
      </w:r>
      <w:r>
        <w:rPr>
          <w:rFonts w:hint="eastAsia" w:ascii="仿宋_GB2312" w:hAnsi="仿宋" w:eastAsia="仿宋_GB2312" w:cs="仿宋"/>
          <w:sz w:val="32"/>
          <w:szCs w:val="32"/>
          <w:highlight w:val="none"/>
        </w:rPr>
        <w:t>分者，不予参评。</w:t>
      </w:r>
    </w:p>
    <w:p w14:paraId="1D32621C">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德育分=基础分+奖励分-扣分</w:t>
      </w:r>
    </w:p>
    <w:p w14:paraId="62E2629D">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其中，基础分=管理员评分+学生互评分+活动分，其中管理员评分满分30分，学生互评分满分20分，活动分满分20分</w:t>
      </w:r>
    </w:p>
    <w:p w14:paraId="0974D92B">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第十四条：德育活动分，满分20分</w:t>
      </w:r>
    </w:p>
    <w:p w14:paraId="1303E7F3">
      <w:pPr>
        <w:spacing w:line="560" w:lineRule="exact"/>
        <w:ind w:firstLine="640" w:firstLineChars="200"/>
        <w:rPr>
          <w:rFonts w:ascii="仿宋" w:hAnsi="仿宋" w:eastAsia="仿宋" w:cs="仿宋"/>
          <w:sz w:val="32"/>
          <w:szCs w:val="32"/>
          <w:highlight w:val="none"/>
        </w:rPr>
      </w:pPr>
      <w:r>
        <w:rPr>
          <w:rFonts w:ascii="仿宋_GB2312" w:hAnsi="仿宋" w:eastAsia="仿宋_GB2312" w:cs="仿宋"/>
          <w:sz w:val="32"/>
          <w:szCs w:val="32"/>
          <w:highlight w:val="none"/>
        </w:rPr>
        <w:t>1.</w:t>
      </w:r>
      <w:r>
        <w:rPr>
          <w:rFonts w:hint="eastAsia" w:ascii="仿宋_GB2312" w:hAnsi="仿宋" w:eastAsia="仿宋_GB2312" w:cs="仿宋"/>
          <w:sz w:val="32"/>
          <w:szCs w:val="32"/>
          <w:highlight w:val="none"/>
        </w:rPr>
        <w:t>参加研究生思政活动加分。在评选年度参与研究生各项思政活动及志愿者服务，加分如下</w:t>
      </w:r>
      <w:r>
        <w:rPr>
          <w:rFonts w:hint="eastAsia" w:ascii="仿宋" w:hAnsi="仿宋" w:eastAsia="仿宋" w:cs="仿宋"/>
          <w:sz w:val="32"/>
          <w:szCs w:val="32"/>
          <w:highlight w:val="none"/>
        </w:rPr>
        <w:t>：</w:t>
      </w:r>
    </w:p>
    <w:p w14:paraId="2418CAC8">
      <w:pPr>
        <w:pStyle w:val="9"/>
        <w:tabs>
          <w:tab w:val="left" w:pos="1306"/>
        </w:tabs>
        <w:spacing w:line="560" w:lineRule="exact"/>
        <w:ind w:left="420" w:firstLine="0" w:firstLineChars="0"/>
        <w:jc w:val="center"/>
        <w:rPr>
          <w:rFonts w:ascii="仿宋_GB2312" w:hAnsi="仿宋" w:eastAsia="仿宋_GB2312" w:cs="仿宋"/>
          <w:b/>
          <w:sz w:val="28"/>
          <w:szCs w:val="32"/>
          <w:highlight w:val="none"/>
        </w:rPr>
      </w:pPr>
      <w:r>
        <w:rPr>
          <w:rFonts w:hint="eastAsia" w:ascii="仿宋_GB2312" w:hAnsi="仿宋" w:eastAsia="仿宋_GB2312" w:cs="仿宋"/>
          <w:b/>
          <w:sz w:val="28"/>
          <w:szCs w:val="32"/>
          <w:highlight w:val="none"/>
        </w:rPr>
        <w:t>思政活动加分标准（单位：分/次）</w:t>
      </w:r>
    </w:p>
    <w:tbl>
      <w:tblPr>
        <w:tblStyle w:val="6"/>
        <w:tblpPr w:leftFromText="180" w:rightFromText="180" w:vertAnchor="text" w:horzAnchor="page" w:tblpX="2190" w:tblpY="41"/>
        <w:tblOverlap w:val="never"/>
        <w:tblW w:w="7708" w:type="dxa"/>
        <w:tblInd w:w="0" w:type="dxa"/>
        <w:tblLayout w:type="fixed"/>
        <w:tblCellMar>
          <w:top w:w="0" w:type="dxa"/>
          <w:left w:w="0" w:type="dxa"/>
          <w:bottom w:w="0" w:type="dxa"/>
          <w:right w:w="0" w:type="dxa"/>
        </w:tblCellMar>
      </w:tblPr>
      <w:tblGrid>
        <w:gridCol w:w="1384"/>
        <w:gridCol w:w="1569"/>
        <w:gridCol w:w="1575"/>
        <w:gridCol w:w="2101"/>
        <w:gridCol w:w="1079"/>
      </w:tblGrid>
      <w:tr w14:paraId="25863D52">
        <w:tblPrEx>
          <w:tblCellMar>
            <w:top w:w="0" w:type="dxa"/>
            <w:left w:w="0" w:type="dxa"/>
            <w:bottom w:w="0" w:type="dxa"/>
            <w:right w:w="0" w:type="dxa"/>
          </w:tblCellMar>
        </w:tblPrEx>
        <w:trPr>
          <w:trHeight w:val="973" w:hRule="atLeast"/>
        </w:trPr>
        <w:tc>
          <w:tcPr>
            <w:tcW w:w="1384"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4DA272">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奖励级别</w:t>
            </w:r>
          </w:p>
        </w:tc>
        <w:tc>
          <w:tcPr>
            <w:tcW w:w="1569"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EA51B4">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学科竞赛</w:t>
            </w:r>
          </w:p>
        </w:tc>
        <w:tc>
          <w:tcPr>
            <w:tcW w:w="1575"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A575D3">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学术讲座</w:t>
            </w:r>
          </w:p>
        </w:tc>
        <w:tc>
          <w:tcPr>
            <w:tcW w:w="2101"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24142D">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其他思政活动</w:t>
            </w:r>
          </w:p>
          <w:p w14:paraId="4DE30D50">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（含年级大会）</w:t>
            </w:r>
          </w:p>
        </w:tc>
        <w:tc>
          <w:tcPr>
            <w:tcW w:w="1079" w:type="dxa"/>
            <w:tcBorders>
              <w:top w:val="single" w:color="auto" w:sz="8" w:space="0"/>
              <w:left w:val="single" w:color="auto" w:sz="4" w:space="0"/>
              <w:bottom w:val="single" w:color="auto" w:sz="4" w:space="0"/>
              <w:right w:val="single" w:color="auto" w:sz="4" w:space="0"/>
            </w:tcBorders>
            <w:vAlign w:val="center"/>
          </w:tcPr>
          <w:p w14:paraId="4E417724">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志愿者</w:t>
            </w:r>
          </w:p>
        </w:tc>
      </w:tr>
      <w:tr w14:paraId="55FC2BE0">
        <w:tblPrEx>
          <w:tblCellMar>
            <w:top w:w="0" w:type="dxa"/>
            <w:left w:w="0" w:type="dxa"/>
            <w:bottom w:w="0" w:type="dxa"/>
            <w:right w:w="0" w:type="dxa"/>
          </w:tblCellMar>
        </w:tblPrEx>
        <w:trPr>
          <w:trHeight w:val="361" w:hRule="atLeast"/>
        </w:trPr>
        <w:tc>
          <w:tcPr>
            <w:tcW w:w="1384"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1BA7EB1B">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学院</w:t>
            </w:r>
          </w:p>
        </w:tc>
        <w:tc>
          <w:tcPr>
            <w:tcW w:w="1569"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09A8BB82">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575"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604ABCC2">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101"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7A2C6CF5">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079" w:type="dxa"/>
            <w:tcBorders>
              <w:top w:val="single" w:color="auto" w:sz="6" w:space="0"/>
              <w:left w:val="single" w:color="auto" w:sz="4" w:space="0"/>
              <w:bottom w:val="single" w:color="auto" w:sz="6" w:space="0"/>
              <w:right w:val="single" w:color="auto" w:sz="4" w:space="0"/>
            </w:tcBorders>
          </w:tcPr>
          <w:p w14:paraId="73D81FF7">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r>
      <w:tr w14:paraId="62A58658">
        <w:tblPrEx>
          <w:tblCellMar>
            <w:top w:w="0" w:type="dxa"/>
            <w:left w:w="0" w:type="dxa"/>
            <w:bottom w:w="0" w:type="dxa"/>
            <w:right w:w="0" w:type="dxa"/>
          </w:tblCellMar>
        </w:tblPrEx>
        <w:trPr>
          <w:trHeight w:val="361" w:hRule="atLeast"/>
        </w:trPr>
        <w:tc>
          <w:tcPr>
            <w:tcW w:w="1384"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6A6E0FFA">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校级</w:t>
            </w:r>
          </w:p>
        </w:tc>
        <w:tc>
          <w:tcPr>
            <w:tcW w:w="1569"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62CB3923">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575"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33C18528">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101"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63C51874">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079" w:type="dxa"/>
            <w:tcBorders>
              <w:top w:val="single" w:color="auto" w:sz="6" w:space="0"/>
              <w:left w:val="single" w:color="auto" w:sz="4" w:space="0"/>
              <w:bottom w:val="single" w:color="auto" w:sz="6" w:space="0"/>
              <w:right w:val="single" w:color="auto" w:sz="4" w:space="0"/>
            </w:tcBorders>
          </w:tcPr>
          <w:p w14:paraId="2A56CDBF">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r>
      <w:tr w14:paraId="08AAF4D8">
        <w:tblPrEx>
          <w:tblCellMar>
            <w:top w:w="0" w:type="dxa"/>
            <w:left w:w="0" w:type="dxa"/>
            <w:bottom w:w="0" w:type="dxa"/>
            <w:right w:w="0" w:type="dxa"/>
          </w:tblCellMar>
        </w:tblPrEx>
        <w:trPr>
          <w:trHeight w:val="361" w:hRule="atLeast"/>
        </w:trPr>
        <w:tc>
          <w:tcPr>
            <w:tcW w:w="1384"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7DB4150D">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省级以上</w:t>
            </w:r>
          </w:p>
        </w:tc>
        <w:tc>
          <w:tcPr>
            <w:tcW w:w="1569"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48318A52">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575"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0768E4A1">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2101"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01865665">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079" w:type="dxa"/>
            <w:tcBorders>
              <w:top w:val="single" w:color="auto" w:sz="6" w:space="0"/>
              <w:left w:val="single" w:color="auto" w:sz="4" w:space="0"/>
              <w:bottom w:val="single" w:color="auto" w:sz="6" w:space="0"/>
              <w:right w:val="single" w:color="auto" w:sz="4" w:space="0"/>
            </w:tcBorders>
          </w:tcPr>
          <w:p w14:paraId="01587C21">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r>
    </w:tbl>
    <w:p w14:paraId="5DE31DD4">
      <w:pPr>
        <w:spacing w:line="56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注：1、参与学院活动以学院签到表为准；</w:t>
      </w:r>
      <w:r>
        <w:rPr>
          <w:rFonts w:ascii="仿宋_GB2312" w:hAnsi="仿宋" w:eastAsia="仿宋_GB2312" w:cs="仿宋"/>
          <w:sz w:val="28"/>
          <w:szCs w:val="28"/>
          <w:highlight w:val="none"/>
        </w:rPr>
        <w:t>2</w:t>
      </w:r>
      <w:r>
        <w:rPr>
          <w:rFonts w:hint="eastAsia" w:ascii="仿宋_GB2312" w:hAnsi="仿宋" w:eastAsia="仿宋_GB2312" w:cs="仿宋"/>
          <w:sz w:val="28"/>
          <w:szCs w:val="28"/>
          <w:highlight w:val="none"/>
        </w:rPr>
        <w:t>、参与学校及其他社会活动必须提供证明材料；</w:t>
      </w:r>
      <w:r>
        <w:rPr>
          <w:rFonts w:ascii="仿宋_GB2312" w:hAnsi="仿宋" w:eastAsia="仿宋_GB2312" w:cs="仿宋"/>
          <w:sz w:val="28"/>
          <w:szCs w:val="28"/>
          <w:highlight w:val="none"/>
        </w:rPr>
        <w:t>3</w:t>
      </w:r>
      <w:r>
        <w:rPr>
          <w:rFonts w:hint="eastAsia" w:ascii="仿宋_GB2312" w:hAnsi="仿宋" w:eastAsia="仿宋_GB2312" w:cs="仿宋"/>
          <w:sz w:val="28"/>
          <w:szCs w:val="28"/>
          <w:highlight w:val="none"/>
        </w:rPr>
        <w:t>、思政活动分最高20分，超过则不再累计。</w:t>
      </w:r>
    </w:p>
    <w:p w14:paraId="68B4764D">
      <w:pPr>
        <w:spacing w:line="560" w:lineRule="exact"/>
        <w:ind w:firstLine="643" w:firstLineChars="200"/>
        <w:rPr>
          <w:rFonts w:ascii="仿宋_GB2312" w:hAnsi="仿宋" w:eastAsia="仿宋_GB2312" w:cs="仿宋"/>
          <w:sz w:val="32"/>
          <w:szCs w:val="32"/>
          <w:highlight w:val="none"/>
        </w:rPr>
      </w:pPr>
      <w:r>
        <w:rPr>
          <w:rFonts w:hint="eastAsia" w:ascii="仿宋_GB2312" w:hAnsi="仿宋" w:eastAsia="仿宋_GB2312" w:cs="仿宋"/>
          <w:b/>
          <w:sz w:val="32"/>
          <w:szCs w:val="32"/>
          <w:highlight w:val="none"/>
        </w:rPr>
        <w:t>第十五条</w:t>
      </w:r>
      <w:r>
        <w:rPr>
          <w:rFonts w:hint="eastAsia" w:ascii="仿宋_GB2312" w:hAnsi="仿宋" w:eastAsia="仿宋_GB2312" w:cs="仿宋"/>
          <w:sz w:val="32"/>
          <w:szCs w:val="32"/>
          <w:highlight w:val="none"/>
        </w:rPr>
        <w:t>：德育奖励分：满分</w:t>
      </w:r>
      <w:r>
        <w:rPr>
          <w:rFonts w:ascii="仿宋_GB2312" w:hAnsi="仿宋" w:eastAsia="仿宋_GB2312" w:cs="仿宋"/>
          <w:sz w:val="32"/>
          <w:szCs w:val="32"/>
          <w:highlight w:val="none"/>
        </w:rPr>
        <w:t>30</w:t>
      </w:r>
      <w:r>
        <w:rPr>
          <w:rFonts w:hint="eastAsia" w:ascii="仿宋_GB2312" w:hAnsi="仿宋" w:eastAsia="仿宋_GB2312" w:cs="仿宋"/>
          <w:sz w:val="32"/>
          <w:szCs w:val="32"/>
          <w:highlight w:val="none"/>
        </w:rPr>
        <w:t>分</w:t>
      </w:r>
    </w:p>
    <w:p w14:paraId="1DC58231">
      <w:pPr>
        <w:tabs>
          <w:tab w:val="left" w:pos="312"/>
        </w:tabs>
        <w:spacing w:line="560" w:lineRule="exact"/>
        <w:ind w:firstLine="640" w:firstLineChars="200"/>
        <w:rPr>
          <w:rFonts w:ascii="仿宋" w:hAnsi="仿宋" w:eastAsia="仿宋" w:cs="仿宋"/>
          <w:sz w:val="32"/>
          <w:szCs w:val="32"/>
          <w:highlight w:val="none"/>
        </w:rPr>
      </w:pPr>
      <w:r>
        <w:rPr>
          <w:rFonts w:hint="eastAsia" w:ascii="仿宋_GB2312" w:hAnsi="仿宋" w:eastAsia="仿宋_GB2312" w:cs="仿宋"/>
          <w:sz w:val="32"/>
          <w:szCs w:val="32"/>
          <w:highlight w:val="none"/>
        </w:rPr>
        <w:t>1</w:t>
      </w:r>
      <w:r>
        <w:rPr>
          <w:rFonts w:ascii="仿宋_GB2312" w:hAnsi="仿宋" w:eastAsia="仿宋_GB2312" w:cs="仿宋"/>
          <w:sz w:val="32"/>
          <w:szCs w:val="32"/>
          <w:highlight w:val="none"/>
        </w:rPr>
        <w:t>.参加校院各级研究生组织及工作</w:t>
      </w:r>
      <w:r>
        <w:rPr>
          <w:rFonts w:hint="eastAsia" w:ascii="仿宋_GB2312" w:hAnsi="仿宋" w:eastAsia="仿宋_GB2312" w:cs="仿宋"/>
          <w:sz w:val="32"/>
          <w:szCs w:val="32"/>
          <w:highlight w:val="none"/>
        </w:rPr>
        <w:t>加分。</w:t>
      </w:r>
      <w:r>
        <w:rPr>
          <w:rFonts w:hint="eastAsia" w:ascii="仿宋" w:hAnsi="仿宋" w:eastAsia="仿宋" w:cs="仿宋"/>
          <w:sz w:val="32"/>
          <w:szCs w:val="32"/>
          <w:highlight w:val="none"/>
        </w:rPr>
        <w:t>热心社会工作，在评选年度内担任研究生干部，积极完成组织交给的各项任务，有较强的工作能力和组织能力，工作成绩突出；在同学中有群众基础和较高威信，并能起到模范带头作用，工作勤恳有实效。根据工作职务级别加分标准如下：</w:t>
      </w:r>
    </w:p>
    <w:p w14:paraId="71B29FAA">
      <w:pPr>
        <w:tabs>
          <w:tab w:val="left" w:pos="312"/>
        </w:tabs>
        <w:spacing w:line="560" w:lineRule="exact"/>
        <w:rPr>
          <w:rFonts w:ascii="仿宋" w:hAnsi="仿宋" w:eastAsia="仿宋" w:cs="仿宋"/>
          <w:sz w:val="32"/>
          <w:szCs w:val="32"/>
          <w:highlight w:val="none"/>
        </w:rPr>
      </w:pPr>
    </w:p>
    <w:p w14:paraId="0501EEB1">
      <w:pPr>
        <w:tabs>
          <w:tab w:val="left" w:pos="312"/>
        </w:tabs>
        <w:spacing w:line="560" w:lineRule="exact"/>
        <w:rPr>
          <w:rFonts w:ascii="仿宋" w:hAnsi="仿宋" w:eastAsia="仿宋" w:cs="仿宋"/>
          <w:sz w:val="32"/>
          <w:szCs w:val="32"/>
          <w:highlight w:val="none"/>
        </w:rPr>
      </w:pPr>
    </w:p>
    <w:p w14:paraId="6A3B0731">
      <w:pPr>
        <w:tabs>
          <w:tab w:val="left" w:pos="312"/>
        </w:tabs>
        <w:spacing w:line="560" w:lineRule="exact"/>
        <w:rPr>
          <w:rFonts w:ascii="仿宋" w:hAnsi="仿宋" w:eastAsia="仿宋" w:cs="仿宋"/>
          <w:sz w:val="32"/>
          <w:szCs w:val="32"/>
          <w:highlight w:val="none"/>
        </w:rPr>
      </w:pPr>
    </w:p>
    <w:p w14:paraId="2F5B2B87">
      <w:pPr>
        <w:spacing w:line="560" w:lineRule="exact"/>
        <w:jc w:val="center"/>
        <w:rPr>
          <w:rFonts w:ascii="Times New Roman" w:hAnsi="Times New Roman" w:eastAsia="仿宋"/>
          <w:b/>
          <w:bCs/>
          <w:sz w:val="28"/>
          <w:szCs w:val="28"/>
          <w:highlight w:val="none"/>
        </w:rPr>
      </w:pPr>
      <w:r>
        <w:rPr>
          <w:rFonts w:ascii="Times New Roman" w:hAnsi="Times New Roman" w:eastAsia="仿宋"/>
          <w:b/>
          <w:bCs/>
          <w:sz w:val="28"/>
          <w:szCs w:val="28"/>
          <w:highlight w:val="none"/>
        </w:rPr>
        <w:t xml:space="preserve"> </w:t>
      </w:r>
      <w:r>
        <w:rPr>
          <w:rFonts w:hint="eastAsia" w:ascii="Times New Roman" w:hAnsi="Times New Roman" w:eastAsia="仿宋"/>
          <w:b/>
          <w:bCs/>
          <w:sz w:val="28"/>
          <w:szCs w:val="28"/>
          <w:highlight w:val="none"/>
        </w:rPr>
        <w:t>工作职务评分标准</w:t>
      </w:r>
      <w:r>
        <w:rPr>
          <w:rFonts w:ascii="Times New Roman" w:hAnsi="Times New Roman" w:eastAsia="仿宋"/>
          <w:b/>
          <w:bCs/>
          <w:sz w:val="28"/>
          <w:szCs w:val="28"/>
          <w:highlight w:val="none"/>
        </w:rPr>
        <w:t>（单位：分/项）</w:t>
      </w:r>
    </w:p>
    <w:tbl>
      <w:tblPr>
        <w:tblStyle w:val="6"/>
        <w:tblpPr w:leftFromText="180" w:rightFromText="180" w:vertAnchor="text" w:horzAnchor="page" w:tblpX="2047" w:tblpY="2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1350"/>
        <w:gridCol w:w="1410"/>
        <w:gridCol w:w="1291"/>
        <w:gridCol w:w="2413"/>
      </w:tblGrid>
      <w:tr w14:paraId="2596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25" w:type="dxa"/>
            <w:tcBorders>
              <w:top w:val="single" w:color="auto" w:sz="8" w:space="0"/>
              <w:left w:val="single" w:color="auto" w:sz="4" w:space="0"/>
              <w:bottom w:val="single" w:color="auto" w:sz="4" w:space="0"/>
              <w:right w:val="single" w:color="auto" w:sz="4" w:space="0"/>
              <w:tl2br w:val="single" w:color="auto" w:sz="4" w:space="0"/>
            </w:tcBorders>
            <w:vAlign w:val="bottom"/>
          </w:tcPr>
          <w:p w14:paraId="677EE12A">
            <w:pPr>
              <w:spacing w:line="500" w:lineRule="atLeast"/>
              <w:jc w:val="center"/>
              <w:rPr>
                <w:rFonts w:ascii="宋体" w:hAnsi="宋体"/>
                <w:sz w:val="24"/>
                <w:highlight w:val="none"/>
              </w:rPr>
            </w:pPr>
            <w:r>
              <w:rPr>
                <w:rFonts w:hint="eastAsia" w:ascii="宋体" w:hAnsi="宋体"/>
                <w:sz w:val="24"/>
                <w:highlight w:val="none"/>
              </w:rPr>
              <w:t xml:space="preserve">   评价</w:t>
            </w:r>
          </w:p>
          <w:p w14:paraId="4751C969">
            <w:pPr>
              <w:spacing w:line="500" w:lineRule="atLeast"/>
              <w:jc w:val="center"/>
              <w:rPr>
                <w:rFonts w:ascii="宋体" w:hAnsi="宋体"/>
                <w:sz w:val="24"/>
                <w:highlight w:val="none"/>
              </w:rPr>
            </w:pPr>
            <w:r>
              <w:rPr>
                <w:rFonts w:hint="eastAsia" w:ascii="宋体" w:hAnsi="宋体"/>
                <w:sz w:val="24"/>
                <w:highlight w:val="none"/>
              </w:rPr>
              <w:t>工作职务</w:t>
            </w:r>
          </w:p>
        </w:tc>
        <w:tc>
          <w:tcPr>
            <w:tcW w:w="1350" w:type="dxa"/>
            <w:tcBorders>
              <w:top w:val="single" w:color="auto" w:sz="8" w:space="0"/>
              <w:left w:val="single" w:color="auto" w:sz="4" w:space="0"/>
              <w:bottom w:val="single" w:color="auto" w:sz="4" w:space="0"/>
              <w:right w:val="single" w:color="auto" w:sz="4" w:space="0"/>
            </w:tcBorders>
            <w:vAlign w:val="center"/>
          </w:tcPr>
          <w:p w14:paraId="5D2734A5">
            <w:pPr>
              <w:spacing w:line="500" w:lineRule="atLeast"/>
              <w:jc w:val="center"/>
              <w:rPr>
                <w:rFonts w:ascii="宋体" w:hAnsi="宋体"/>
                <w:sz w:val="24"/>
                <w:highlight w:val="none"/>
              </w:rPr>
            </w:pPr>
            <w:r>
              <w:rPr>
                <w:rFonts w:hint="eastAsia" w:ascii="宋体" w:hAnsi="宋体"/>
                <w:sz w:val="24"/>
                <w:highlight w:val="none"/>
              </w:rPr>
              <w:t>优秀</w:t>
            </w:r>
          </w:p>
        </w:tc>
        <w:tc>
          <w:tcPr>
            <w:tcW w:w="1410" w:type="dxa"/>
            <w:tcBorders>
              <w:top w:val="single" w:color="auto" w:sz="8" w:space="0"/>
              <w:left w:val="single" w:color="auto" w:sz="4" w:space="0"/>
              <w:bottom w:val="single" w:color="auto" w:sz="4" w:space="0"/>
              <w:right w:val="single" w:color="auto" w:sz="4" w:space="0"/>
            </w:tcBorders>
            <w:vAlign w:val="center"/>
          </w:tcPr>
          <w:p w14:paraId="06922EBC">
            <w:pPr>
              <w:spacing w:line="500" w:lineRule="atLeast"/>
              <w:jc w:val="center"/>
              <w:rPr>
                <w:rFonts w:ascii="宋体" w:hAnsi="宋体"/>
                <w:sz w:val="24"/>
                <w:highlight w:val="none"/>
              </w:rPr>
            </w:pPr>
            <w:r>
              <w:rPr>
                <w:rFonts w:hint="eastAsia" w:ascii="宋体" w:hAnsi="宋体"/>
                <w:sz w:val="24"/>
                <w:highlight w:val="none"/>
              </w:rPr>
              <w:t>良好</w:t>
            </w:r>
          </w:p>
        </w:tc>
        <w:tc>
          <w:tcPr>
            <w:tcW w:w="1291" w:type="dxa"/>
            <w:tcBorders>
              <w:top w:val="single" w:color="auto" w:sz="8" w:space="0"/>
              <w:left w:val="single" w:color="auto" w:sz="4" w:space="0"/>
              <w:bottom w:val="single" w:color="auto" w:sz="4" w:space="0"/>
              <w:right w:val="single" w:color="auto" w:sz="4" w:space="0"/>
            </w:tcBorders>
            <w:vAlign w:val="center"/>
          </w:tcPr>
          <w:p w14:paraId="5A537655">
            <w:pPr>
              <w:spacing w:line="500" w:lineRule="atLeast"/>
              <w:jc w:val="center"/>
              <w:rPr>
                <w:rFonts w:ascii="宋体" w:hAnsi="宋体"/>
                <w:sz w:val="24"/>
                <w:highlight w:val="none"/>
              </w:rPr>
            </w:pPr>
            <w:r>
              <w:rPr>
                <w:rFonts w:hint="eastAsia" w:ascii="宋体" w:hAnsi="宋体"/>
                <w:sz w:val="24"/>
                <w:highlight w:val="none"/>
              </w:rPr>
              <w:t>合格</w:t>
            </w:r>
          </w:p>
        </w:tc>
        <w:tc>
          <w:tcPr>
            <w:tcW w:w="2413" w:type="dxa"/>
            <w:tcBorders>
              <w:top w:val="single" w:color="auto" w:sz="8" w:space="0"/>
              <w:left w:val="single" w:color="auto" w:sz="4" w:space="0"/>
              <w:bottom w:val="single" w:color="auto" w:sz="4" w:space="0"/>
              <w:right w:val="single" w:color="auto" w:sz="4" w:space="0"/>
            </w:tcBorders>
            <w:vAlign w:val="center"/>
          </w:tcPr>
          <w:p w14:paraId="3D814000">
            <w:pPr>
              <w:spacing w:line="500" w:lineRule="atLeast"/>
              <w:jc w:val="center"/>
              <w:rPr>
                <w:rFonts w:ascii="宋体" w:hAnsi="宋体"/>
                <w:sz w:val="24"/>
                <w:highlight w:val="none"/>
              </w:rPr>
            </w:pPr>
            <w:r>
              <w:rPr>
                <w:rFonts w:hint="eastAsia" w:ascii="宋体" w:hAnsi="宋体"/>
                <w:sz w:val="24"/>
                <w:highlight w:val="none"/>
              </w:rPr>
              <w:t>评价单位</w:t>
            </w:r>
          </w:p>
        </w:tc>
      </w:tr>
      <w:tr w14:paraId="3B07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825" w:type="dxa"/>
            <w:tcBorders>
              <w:top w:val="single" w:color="auto" w:sz="6" w:space="0"/>
              <w:left w:val="single" w:color="auto" w:sz="4" w:space="0"/>
              <w:bottom w:val="single" w:color="auto" w:sz="4" w:space="0"/>
              <w:right w:val="single" w:color="auto" w:sz="4" w:space="0"/>
            </w:tcBorders>
            <w:vAlign w:val="center"/>
          </w:tcPr>
          <w:p w14:paraId="16FCCAC5">
            <w:pPr>
              <w:spacing w:line="500" w:lineRule="atLeast"/>
              <w:jc w:val="center"/>
              <w:rPr>
                <w:rFonts w:ascii="宋体" w:hAnsi="宋体"/>
                <w:sz w:val="24"/>
                <w:highlight w:val="none"/>
              </w:rPr>
            </w:pPr>
            <w:r>
              <w:rPr>
                <w:rFonts w:hint="eastAsia" w:ascii="宋体" w:hAnsi="宋体"/>
                <w:sz w:val="24"/>
                <w:highlight w:val="none"/>
              </w:rPr>
              <w:t>校级</w:t>
            </w:r>
          </w:p>
        </w:tc>
        <w:tc>
          <w:tcPr>
            <w:tcW w:w="1350" w:type="dxa"/>
            <w:tcBorders>
              <w:top w:val="single" w:color="auto" w:sz="6" w:space="0"/>
              <w:left w:val="single" w:color="auto" w:sz="4" w:space="0"/>
              <w:bottom w:val="single" w:color="auto" w:sz="4" w:space="0"/>
              <w:right w:val="single" w:color="auto" w:sz="4" w:space="0"/>
            </w:tcBorders>
            <w:vAlign w:val="center"/>
          </w:tcPr>
          <w:p w14:paraId="5D69F241">
            <w:pPr>
              <w:spacing w:line="500" w:lineRule="atLeast"/>
              <w:jc w:val="center"/>
              <w:rPr>
                <w:rFonts w:ascii="宋体" w:hAnsi="宋体"/>
                <w:sz w:val="24"/>
                <w:highlight w:val="none"/>
              </w:rPr>
            </w:pPr>
            <w:r>
              <w:rPr>
                <w:rFonts w:hint="eastAsia" w:ascii="宋体" w:hAnsi="宋体"/>
                <w:sz w:val="24"/>
                <w:highlight w:val="none"/>
              </w:rPr>
              <w:t>12</w:t>
            </w:r>
          </w:p>
        </w:tc>
        <w:tc>
          <w:tcPr>
            <w:tcW w:w="1410" w:type="dxa"/>
            <w:tcBorders>
              <w:top w:val="single" w:color="auto" w:sz="6" w:space="0"/>
              <w:left w:val="single" w:color="auto" w:sz="4" w:space="0"/>
              <w:bottom w:val="single" w:color="auto" w:sz="4" w:space="0"/>
              <w:right w:val="single" w:color="auto" w:sz="4" w:space="0"/>
            </w:tcBorders>
            <w:vAlign w:val="center"/>
          </w:tcPr>
          <w:p w14:paraId="2BF7FCDE">
            <w:pPr>
              <w:spacing w:line="500" w:lineRule="atLeast"/>
              <w:jc w:val="center"/>
              <w:rPr>
                <w:rFonts w:ascii="宋体" w:hAnsi="宋体"/>
                <w:sz w:val="24"/>
                <w:highlight w:val="none"/>
              </w:rPr>
            </w:pPr>
            <w:r>
              <w:rPr>
                <w:rFonts w:hint="eastAsia" w:ascii="宋体" w:hAnsi="宋体"/>
                <w:sz w:val="24"/>
                <w:highlight w:val="none"/>
              </w:rPr>
              <w:t>8</w:t>
            </w:r>
          </w:p>
        </w:tc>
        <w:tc>
          <w:tcPr>
            <w:tcW w:w="1291" w:type="dxa"/>
            <w:tcBorders>
              <w:top w:val="single" w:color="auto" w:sz="6" w:space="0"/>
              <w:left w:val="single" w:color="auto" w:sz="4" w:space="0"/>
              <w:bottom w:val="single" w:color="auto" w:sz="4" w:space="0"/>
              <w:right w:val="single" w:color="auto" w:sz="4" w:space="0"/>
            </w:tcBorders>
            <w:vAlign w:val="center"/>
          </w:tcPr>
          <w:p w14:paraId="4E0CAD9A">
            <w:pPr>
              <w:spacing w:line="500" w:lineRule="atLeast"/>
              <w:jc w:val="center"/>
              <w:rPr>
                <w:rFonts w:ascii="宋体" w:hAnsi="宋体"/>
                <w:sz w:val="24"/>
                <w:highlight w:val="none"/>
              </w:rPr>
            </w:pPr>
            <w:r>
              <w:rPr>
                <w:rFonts w:hint="eastAsia" w:ascii="宋体" w:hAnsi="宋体"/>
                <w:sz w:val="24"/>
                <w:highlight w:val="none"/>
              </w:rPr>
              <w:t>4</w:t>
            </w:r>
          </w:p>
        </w:tc>
        <w:tc>
          <w:tcPr>
            <w:tcW w:w="2413" w:type="dxa"/>
            <w:tcBorders>
              <w:top w:val="single" w:color="auto" w:sz="6" w:space="0"/>
              <w:left w:val="single" w:color="auto" w:sz="4" w:space="0"/>
              <w:bottom w:val="single" w:color="auto" w:sz="4" w:space="0"/>
              <w:right w:val="single" w:color="auto" w:sz="4" w:space="0"/>
            </w:tcBorders>
            <w:vAlign w:val="center"/>
          </w:tcPr>
          <w:p w14:paraId="19C84C41">
            <w:pPr>
              <w:spacing w:line="500" w:lineRule="atLeast"/>
              <w:jc w:val="center"/>
              <w:rPr>
                <w:rFonts w:ascii="宋体" w:hAnsi="宋体"/>
                <w:sz w:val="24"/>
                <w:highlight w:val="none"/>
              </w:rPr>
            </w:pPr>
            <w:r>
              <w:rPr>
                <w:rFonts w:hint="eastAsia" w:ascii="宋体" w:hAnsi="宋体"/>
                <w:sz w:val="24"/>
                <w:highlight w:val="none"/>
              </w:rPr>
              <w:t>研究生工作部</w:t>
            </w:r>
          </w:p>
        </w:tc>
      </w:tr>
      <w:tr w14:paraId="511D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25" w:type="dxa"/>
            <w:tcBorders>
              <w:top w:val="single" w:color="auto" w:sz="4" w:space="0"/>
              <w:left w:val="single" w:color="auto" w:sz="4" w:space="0"/>
              <w:bottom w:val="single" w:color="auto" w:sz="4" w:space="0"/>
              <w:right w:val="single" w:color="auto" w:sz="4" w:space="0"/>
            </w:tcBorders>
            <w:vAlign w:val="center"/>
          </w:tcPr>
          <w:p w14:paraId="18892D6E">
            <w:pPr>
              <w:spacing w:line="500" w:lineRule="atLeast"/>
              <w:jc w:val="center"/>
              <w:rPr>
                <w:rFonts w:ascii="宋体" w:hAnsi="宋体"/>
                <w:sz w:val="24"/>
                <w:highlight w:val="none"/>
              </w:rPr>
            </w:pPr>
            <w:r>
              <w:rPr>
                <w:rFonts w:hint="eastAsia" w:ascii="宋体" w:hAnsi="宋体"/>
                <w:sz w:val="24"/>
                <w:highlight w:val="none"/>
              </w:rPr>
              <w:t>院级</w:t>
            </w:r>
          </w:p>
        </w:tc>
        <w:tc>
          <w:tcPr>
            <w:tcW w:w="1350" w:type="dxa"/>
            <w:tcBorders>
              <w:top w:val="single" w:color="auto" w:sz="4" w:space="0"/>
              <w:left w:val="single" w:color="auto" w:sz="4" w:space="0"/>
              <w:bottom w:val="single" w:color="auto" w:sz="4" w:space="0"/>
              <w:right w:val="single" w:color="auto" w:sz="4" w:space="0"/>
            </w:tcBorders>
            <w:vAlign w:val="center"/>
          </w:tcPr>
          <w:p w14:paraId="1BE2DC89">
            <w:pPr>
              <w:spacing w:line="500" w:lineRule="atLeast"/>
              <w:jc w:val="center"/>
              <w:rPr>
                <w:rFonts w:ascii="宋体" w:hAnsi="宋体"/>
                <w:sz w:val="24"/>
                <w:highlight w:val="none"/>
              </w:rPr>
            </w:pPr>
            <w:r>
              <w:rPr>
                <w:rFonts w:hint="eastAsia" w:ascii="宋体" w:hAnsi="宋体"/>
                <w:sz w:val="24"/>
                <w:highlight w:val="none"/>
              </w:rPr>
              <w:t>10</w:t>
            </w:r>
          </w:p>
        </w:tc>
        <w:tc>
          <w:tcPr>
            <w:tcW w:w="1410" w:type="dxa"/>
            <w:tcBorders>
              <w:top w:val="single" w:color="auto" w:sz="4" w:space="0"/>
              <w:left w:val="single" w:color="auto" w:sz="4" w:space="0"/>
              <w:bottom w:val="single" w:color="auto" w:sz="4" w:space="0"/>
              <w:right w:val="single" w:color="auto" w:sz="4" w:space="0"/>
            </w:tcBorders>
            <w:vAlign w:val="center"/>
          </w:tcPr>
          <w:p w14:paraId="5F69CD49">
            <w:pPr>
              <w:spacing w:line="500" w:lineRule="atLeast"/>
              <w:jc w:val="center"/>
              <w:rPr>
                <w:rFonts w:ascii="宋体" w:hAnsi="宋体"/>
                <w:sz w:val="24"/>
                <w:highlight w:val="none"/>
              </w:rPr>
            </w:pPr>
            <w:r>
              <w:rPr>
                <w:rFonts w:hint="eastAsia" w:ascii="宋体" w:hAnsi="宋体"/>
                <w:sz w:val="24"/>
                <w:highlight w:val="none"/>
              </w:rPr>
              <w:t>6</w:t>
            </w:r>
          </w:p>
        </w:tc>
        <w:tc>
          <w:tcPr>
            <w:tcW w:w="1291" w:type="dxa"/>
            <w:tcBorders>
              <w:top w:val="single" w:color="auto" w:sz="4" w:space="0"/>
              <w:left w:val="single" w:color="auto" w:sz="4" w:space="0"/>
              <w:bottom w:val="single" w:color="auto" w:sz="4" w:space="0"/>
              <w:right w:val="single" w:color="auto" w:sz="4" w:space="0"/>
            </w:tcBorders>
            <w:vAlign w:val="center"/>
          </w:tcPr>
          <w:p w14:paraId="2C7682C2">
            <w:pPr>
              <w:spacing w:line="500" w:lineRule="atLeast"/>
              <w:jc w:val="center"/>
              <w:rPr>
                <w:rFonts w:ascii="宋体" w:hAnsi="宋体"/>
                <w:sz w:val="24"/>
                <w:highlight w:val="none"/>
              </w:rPr>
            </w:pPr>
            <w:r>
              <w:rPr>
                <w:rFonts w:hint="eastAsia" w:ascii="宋体" w:hAnsi="宋体"/>
                <w:sz w:val="24"/>
                <w:highlight w:val="none"/>
              </w:rPr>
              <w:t>3</w:t>
            </w:r>
          </w:p>
        </w:tc>
        <w:tc>
          <w:tcPr>
            <w:tcW w:w="2413" w:type="dxa"/>
            <w:tcBorders>
              <w:top w:val="single" w:color="auto" w:sz="4" w:space="0"/>
              <w:left w:val="single" w:color="auto" w:sz="4" w:space="0"/>
              <w:bottom w:val="single" w:color="auto" w:sz="4" w:space="0"/>
              <w:right w:val="single" w:color="auto" w:sz="4" w:space="0"/>
            </w:tcBorders>
            <w:vAlign w:val="center"/>
          </w:tcPr>
          <w:p w14:paraId="4ABA0B29">
            <w:pPr>
              <w:spacing w:line="500" w:lineRule="atLeast"/>
              <w:jc w:val="center"/>
              <w:rPr>
                <w:rFonts w:ascii="宋体" w:hAnsi="宋体"/>
                <w:sz w:val="24"/>
                <w:highlight w:val="none"/>
              </w:rPr>
            </w:pPr>
            <w:r>
              <w:rPr>
                <w:rFonts w:hint="eastAsia" w:ascii="宋体" w:hAnsi="宋体"/>
                <w:sz w:val="24"/>
                <w:highlight w:val="none"/>
              </w:rPr>
              <w:t>学院</w:t>
            </w:r>
          </w:p>
        </w:tc>
      </w:tr>
      <w:tr w14:paraId="0FFD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825" w:type="dxa"/>
            <w:tcBorders>
              <w:top w:val="single" w:color="auto" w:sz="4" w:space="0"/>
              <w:left w:val="single" w:color="auto" w:sz="4" w:space="0"/>
              <w:bottom w:val="single" w:color="auto" w:sz="8" w:space="0"/>
              <w:right w:val="single" w:color="auto" w:sz="4" w:space="0"/>
            </w:tcBorders>
            <w:vAlign w:val="center"/>
          </w:tcPr>
          <w:p w14:paraId="4748E945">
            <w:pPr>
              <w:spacing w:line="500" w:lineRule="atLeast"/>
              <w:jc w:val="center"/>
              <w:rPr>
                <w:rFonts w:ascii="宋体" w:hAnsi="宋体"/>
                <w:sz w:val="24"/>
                <w:highlight w:val="none"/>
              </w:rPr>
            </w:pPr>
            <w:r>
              <w:rPr>
                <w:rFonts w:hint="eastAsia" w:ascii="宋体" w:hAnsi="宋体"/>
                <w:sz w:val="24"/>
                <w:highlight w:val="none"/>
              </w:rPr>
              <w:t>班级</w:t>
            </w:r>
          </w:p>
        </w:tc>
        <w:tc>
          <w:tcPr>
            <w:tcW w:w="1350" w:type="dxa"/>
            <w:tcBorders>
              <w:top w:val="single" w:color="auto" w:sz="4" w:space="0"/>
              <w:left w:val="single" w:color="auto" w:sz="4" w:space="0"/>
              <w:bottom w:val="single" w:color="auto" w:sz="8" w:space="0"/>
              <w:right w:val="single" w:color="auto" w:sz="4" w:space="0"/>
            </w:tcBorders>
            <w:vAlign w:val="center"/>
          </w:tcPr>
          <w:p w14:paraId="67F19ABE">
            <w:pPr>
              <w:spacing w:line="500" w:lineRule="atLeast"/>
              <w:jc w:val="center"/>
              <w:rPr>
                <w:rFonts w:ascii="宋体" w:hAnsi="宋体"/>
                <w:sz w:val="24"/>
                <w:highlight w:val="none"/>
              </w:rPr>
            </w:pPr>
            <w:r>
              <w:rPr>
                <w:rFonts w:hint="eastAsia" w:ascii="宋体" w:hAnsi="宋体"/>
                <w:sz w:val="24"/>
                <w:highlight w:val="none"/>
              </w:rPr>
              <w:t>8</w:t>
            </w:r>
          </w:p>
        </w:tc>
        <w:tc>
          <w:tcPr>
            <w:tcW w:w="1410" w:type="dxa"/>
            <w:tcBorders>
              <w:top w:val="single" w:color="auto" w:sz="4" w:space="0"/>
              <w:left w:val="single" w:color="auto" w:sz="4" w:space="0"/>
              <w:bottom w:val="single" w:color="auto" w:sz="8" w:space="0"/>
              <w:right w:val="single" w:color="auto" w:sz="4" w:space="0"/>
            </w:tcBorders>
            <w:vAlign w:val="center"/>
          </w:tcPr>
          <w:p w14:paraId="30333834">
            <w:pPr>
              <w:spacing w:line="500" w:lineRule="atLeast"/>
              <w:jc w:val="center"/>
              <w:rPr>
                <w:rFonts w:ascii="宋体" w:hAnsi="宋体"/>
                <w:sz w:val="24"/>
                <w:highlight w:val="none"/>
              </w:rPr>
            </w:pPr>
            <w:r>
              <w:rPr>
                <w:rFonts w:hint="eastAsia" w:ascii="宋体" w:hAnsi="宋体"/>
                <w:sz w:val="24"/>
                <w:highlight w:val="none"/>
              </w:rPr>
              <w:t>4</w:t>
            </w:r>
          </w:p>
        </w:tc>
        <w:tc>
          <w:tcPr>
            <w:tcW w:w="1291" w:type="dxa"/>
            <w:tcBorders>
              <w:top w:val="single" w:color="auto" w:sz="4" w:space="0"/>
              <w:left w:val="single" w:color="auto" w:sz="4" w:space="0"/>
              <w:bottom w:val="single" w:color="auto" w:sz="8" w:space="0"/>
              <w:right w:val="single" w:color="auto" w:sz="4" w:space="0"/>
            </w:tcBorders>
            <w:vAlign w:val="center"/>
          </w:tcPr>
          <w:p w14:paraId="1744AEF0">
            <w:pPr>
              <w:spacing w:line="500" w:lineRule="atLeast"/>
              <w:jc w:val="center"/>
              <w:rPr>
                <w:rFonts w:ascii="宋体" w:hAnsi="宋体"/>
                <w:sz w:val="24"/>
                <w:highlight w:val="none"/>
              </w:rPr>
            </w:pPr>
            <w:r>
              <w:rPr>
                <w:rFonts w:hint="eastAsia" w:ascii="宋体" w:hAnsi="宋体"/>
                <w:sz w:val="24"/>
                <w:highlight w:val="none"/>
              </w:rPr>
              <w:t>2</w:t>
            </w:r>
          </w:p>
        </w:tc>
        <w:tc>
          <w:tcPr>
            <w:tcW w:w="2413" w:type="dxa"/>
            <w:tcBorders>
              <w:top w:val="single" w:color="auto" w:sz="4" w:space="0"/>
              <w:left w:val="single" w:color="auto" w:sz="4" w:space="0"/>
              <w:bottom w:val="single" w:color="auto" w:sz="8" w:space="0"/>
              <w:right w:val="single" w:color="auto" w:sz="4" w:space="0"/>
            </w:tcBorders>
            <w:vAlign w:val="center"/>
          </w:tcPr>
          <w:p w14:paraId="5414A0C9">
            <w:pPr>
              <w:spacing w:line="500" w:lineRule="atLeast"/>
              <w:jc w:val="center"/>
              <w:rPr>
                <w:rFonts w:ascii="宋体" w:hAnsi="宋体"/>
                <w:sz w:val="24"/>
                <w:highlight w:val="none"/>
              </w:rPr>
            </w:pPr>
            <w:r>
              <w:rPr>
                <w:rFonts w:hint="eastAsia" w:ascii="宋体" w:hAnsi="宋体"/>
                <w:sz w:val="24"/>
                <w:highlight w:val="none"/>
              </w:rPr>
              <w:t>班级、研会、</w:t>
            </w:r>
          </w:p>
          <w:p w14:paraId="4C633910">
            <w:pPr>
              <w:spacing w:line="500" w:lineRule="atLeast"/>
              <w:jc w:val="center"/>
              <w:rPr>
                <w:rFonts w:ascii="宋体" w:hAnsi="宋体"/>
                <w:sz w:val="24"/>
                <w:highlight w:val="none"/>
              </w:rPr>
            </w:pPr>
            <w:r>
              <w:rPr>
                <w:rFonts w:hint="eastAsia" w:ascii="宋体" w:hAnsi="宋体"/>
                <w:sz w:val="24"/>
                <w:highlight w:val="none"/>
              </w:rPr>
              <w:t>党支部、团总支</w:t>
            </w:r>
          </w:p>
        </w:tc>
      </w:tr>
    </w:tbl>
    <w:p w14:paraId="5BE92C5B">
      <w:pPr>
        <w:spacing w:line="56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注：1、“</w:t>
      </w:r>
      <w:r>
        <w:rPr>
          <w:rFonts w:hint="eastAsia" w:ascii="仿宋_GB2312" w:hAnsi="仿宋" w:eastAsia="仿宋_GB2312" w:cs="仿宋"/>
          <w:sz w:val="28"/>
          <w:szCs w:val="28"/>
          <w:highlight w:val="none"/>
          <w:lang w:val="en-US" w:eastAsia="zh-CN"/>
        </w:rPr>
        <w:t>工作职务栏</w:t>
      </w:r>
      <w:r>
        <w:rPr>
          <w:rFonts w:hint="eastAsia" w:ascii="仿宋_GB2312" w:hAnsi="仿宋" w:eastAsia="仿宋_GB2312" w:cs="仿宋"/>
          <w:sz w:val="28"/>
          <w:szCs w:val="28"/>
          <w:highlight w:val="none"/>
        </w:rPr>
        <w:t>”以最高级别计，不重复计分；优秀比例不超过30%。2、院级学生干部认定范围：任职期满一年以上的院研究生会主席团、部长及副部长；团总支书记及副书记；学院党总支副书记、学院各党支部书记及副书记；年级班长及副班长。3、班级干部认定范围：任职期满一年以上研会干事、党支部支委、团支部书记及干事、班级班长、班级学习委员</w:t>
      </w:r>
      <w:r>
        <w:rPr>
          <w:rFonts w:hint="eastAsia" w:ascii="仿宋_GB2312" w:hAnsi="仿宋" w:eastAsia="仿宋_GB2312" w:cs="仿宋"/>
          <w:sz w:val="28"/>
          <w:szCs w:val="28"/>
          <w:highlight w:val="none"/>
          <w:lang w:eastAsia="zh-CN"/>
        </w:rPr>
        <w:t>、班级劳动委员</w:t>
      </w:r>
      <w:r>
        <w:rPr>
          <w:rFonts w:hint="eastAsia" w:ascii="仿宋_GB2312" w:hAnsi="仿宋" w:eastAsia="仿宋_GB2312" w:cs="仿宋"/>
          <w:sz w:val="28"/>
          <w:szCs w:val="28"/>
          <w:highlight w:val="none"/>
        </w:rPr>
        <w:t>。4、校级组织的副部长及以上职务的学生干部、宿舍楼层党支部书记及以上职务的党员干部按校级干部评定；校级组织干事、宿舍楼层党支部委员按院级干部认定。</w:t>
      </w:r>
    </w:p>
    <w:p w14:paraId="6AE61FBD">
      <w:pPr>
        <w:spacing w:line="56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2.</w:t>
      </w:r>
      <w:r>
        <w:rPr>
          <w:rFonts w:hint="eastAsia" w:ascii="仿宋" w:hAnsi="仿宋" w:eastAsia="仿宋" w:cs="仿宋"/>
          <w:sz w:val="32"/>
          <w:szCs w:val="32"/>
          <w:highlight w:val="none"/>
        </w:rPr>
        <w:t>参加由学校、学院等组织的思政活动并获得奖项；在国家、省、学校和学院举行的思政活动中，代表学校或培养单位参加所获得奖励；活动级别加分标准如下：</w:t>
      </w:r>
    </w:p>
    <w:p w14:paraId="153BD0D6">
      <w:pPr>
        <w:spacing w:beforeLines="50" w:line="560" w:lineRule="exact"/>
        <w:jc w:val="center"/>
        <w:rPr>
          <w:rFonts w:ascii="仿宋" w:hAnsi="仿宋" w:eastAsia="仿宋" w:cs="仿宋"/>
          <w:b/>
          <w:sz w:val="28"/>
          <w:szCs w:val="32"/>
          <w:highlight w:val="none"/>
        </w:rPr>
      </w:pPr>
      <w:r>
        <w:rPr>
          <w:rFonts w:hint="eastAsia" w:ascii="仿宋" w:hAnsi="仿宋" w:eastAsia="仿宋" w:cs="仿宋"/>
          <w:b/>
          <w:sz w:val="28"/>
          <w:szCs w:val="32"/>
          <w:highlight w:val="none"/>
        </w:rPr>
        <w:t>思政类活动获奖评分标准（单位：分/项）</w:t>
      </w:r>
    </w:p>
    <w:tbl>
      <w:tblPr>
        <w:tblStyle w:val="6"/>
        <w:tblpPr w:leftFromText="180" w:rightFromText="180" w:vertAnchor="text" w:horzAnchor="page" w:tblpX="2041" w:tblpY="286"/>
        <w:tblOverlap w:val="never"/>
        <w:tblW w:w="8036" w:type="dxa"/>
        <w:tblInd w:w="0" w:type="dxa"/>
        <w:tblLayout w:type="fixed"/>
        <w:tblCellMar>
          <w:top w:w="0" w:type="dxa"/>
          <w:left w:w="0" w:type="dxa"/>
          <w:bottom w:w="0" w:type="dxa"/>
          <w:right w:w="0" w:type="dxa"/>
        </w:tblCellMar>
      </w:tblPr>
      <w:tblGrid>
        <w:gridCol w:w="1918"/>
        <w:gridCol w:w="1408"/>
        <w:gridCol w:w="1545"/>
        <w:gridCol w:w="1575"/>
        <w:gridCol w:w="1590"/>
      </w:tblGrid>
      <w:tr w14:paraId="7BF67E61">
        <w:tblPrEx>
          <w:tblCellMar>
            <w:top w:w="0" w:type="dxa"/>
            <w:left w:w="0" w:type="dxa"/>
            <w:bottom w:w="0" w:type="dxa"/>
            <w:right w:w="0" w:type="dxa"/>
          </w:tblCellMar>
        </w:tblPrEx>
        <w:trPr>
          <w:trHeight w:val="575" w:hRule="atLeast"/>
        </w:trPr>
        <w:tc>
          <w:tcPr>
            <w:tcW w:w="1918" w:type="dxa"/>
            <w:tcBorders>
              <w:top w:val="single" w:color="auto" w:sz="8" w:space="0"/>
              <w:left w:val="single" w:color="auto" w:sz="4" w:space="0"/>
              <w:bottom w:val="single" w:color="auto" w:sz="4" w:space="0"/>
              <w:right w:val="single" w:color="auto" w:sz="4" w:space="0"/>
              <w:tl2br w:val="single" w:color="auto" w:sz="4" w:space="0"/>
            </w:tcBorders>
            <w:tcMar>
              <w:top w:w="0" w:type="dxa"/>
              <w:left w:w="108" w:type="dxa"/>
              <w:bottom w:w="0" w:type="dxa"/>
              <w:right w:w="108" w:type="dxa"/>
            </w:tcMar>
            <w:vAlign w:val="center"/>
          </w:tcPr>
          <w:p w14:paraId="541306B1">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等次</w:t>
            </w:r>
          </w:p>
          <w:p w14:paraId="4D8B2D4D">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获奖级别</w:t>
            </w:r>
          </w:p>
        </w:tc>
        <w:tc>
          <w:tcPr>
            <w:tcW w:w="1408"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FF5769">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一等奖</w:t>
            </w:r>
          </w:p>
        </w:tc>
        <w:tc>
          <w:tcPr>
            <w:tcW w:w="1545"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A2D458">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二等奖</w:t>
            </w:r>
          </w:p>
        </w:tc>
        <w:tc>
          <w:tcPr>
            <w:tcW w:w="1575"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3A4AE7">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三等奖</w:t>
            </w:r>
          </w:p>
        </w:tc>
        <w:tc>
          <w:tcPr>
            <w:tcW w:w="1590"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52719FA">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优秀奖</w:t>
            </w:r>
          </w:p>
        </w:tc>
      </w:tr>
      <w:tr w14:paraId="419D618D">
        <w:tblPrEx>
          <w:tblCellMar>
            <w:top w:w="0" w:type="dxa"/>
            <w:left w:w="0" w:type="dxa"/>
            <w:bottom w:w="0" w:type="dxa"/>
            <w:right w:w="0" w:type="dxa"/>
          </w:tblCellMar>
        </w:tblPrEx>
        <w:trPr>
          <w:trHeight w:val="361" w:hRule="atLeast"/>
        </w:trPr>
        <w:tc>
          <w:tcPr>
            <w:tcW w:w="1918"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64916D">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国际级</w:t>
            </w:r>
          </w:p>
        </w:tc>
        <w:tc>
          <w:tcPr>
            <w:tcW w:w="1408"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54C15C">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30</w:t>
            </w:r>
          </w:p>
        </w:tc>
        <w:tc>
          <w:tcPr>
            <w:tcW w:w="1545"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CBB271">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25</w:t>
            </w:r>
          </w:p>
        </w:tc>
        <w:tc>
          <w:tcPr>
            <w:tcW w:w="1575"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073210">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20</w:t>
            </w:r>
          </w:p>
        </w:tc>
        <w:tc>
          <w:tcPr>
            <w:tcW w:w="1590"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8D9AE1">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15</w:t>
            </w:r>
          </w:p>
        </w:tc>
      </w:tr>
      <w:tr w14:paraId="16A7AA54">
        <w:tblPrEx>
          <w:tblCellMar>
            <w:top w:w="0" w:type="dxa"/>
            <w:left w:w="0" w:type="dxa"/>
            <w:bottom w:w="0" w:type="dxa"/>
            <w:right w:w="0" w:type="dxa"/>
          </w:tblCellMar>
        </w:tblPrEx>
        <w:trPr>
          <w:trHeight w:val="361" w:hRule="atLeast"/>
        </w:trPr>
        <w:tc>
          <w:tcPr>
            <w:tcW w:w="1918"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7876E5">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国家级</w:t>
            </w:r>
          </w:p>
        </w:tc>
        <w:tc>
          <w:tcPr>
            <w:tcW w:w="1408"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550BF1">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25</w:t>
            </w:r>
          </w:p>
        </w:tc>
        <w:tc>
          <w:tcPr>
            <w:tcW w:w="1545"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E1ACB4">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20</w:t>
            </w:r>
          </w:p>
        </w:tc>
        <w:tc>
          <w:tcPr>
            <w:tcW w:w="1575"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4007ED">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1590"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60AF14">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10</w:t>
            </w:r>
          </w:p>
        </w:tc>
      </w:tr>
      <w:tr w14:paraId="2E691CF1">
        <w:tblPrEx>
          <w:tblCellMar>
            <w:top w:w="0" w:type="dxa"/>
            <w:left w:w="0" w:type="dxa"/>
            <w:bottom w:w="0" w:type="dxa"/>
            <w:right w:w="0" w:type="dxa"/>
          </w:tblCellMar>
        </w:tblPrEx>
        <w:trPr>
          <w:trHeight w:val="417" w:hRule="atLeast"/>
        </w:trPr>
        <w:tc>
          <w:tcPr>
            <w:tcW w:w="19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EDC09C">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省部级</w:t>
            </w:r>
          </w:p>
        </w:tc>
        <w:tc>
          <w:tcPr>
            <w:tcW w:w="14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E6E658">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15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7C84B1">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F2AFB3">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1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07A8F5">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r>
      <w:tr w14:paraId="7740B4A7">
        <w:tblPrEx>
          <w:tblCellMar>
            <w:top w:w="0" w:type="dxa"/>
            <w:left w:w="0" w:type="dxa"/>
            <w:bottom w:w="0" w:type="dxa"/>
            <w:right w:w="0" w:type="dxa"/>
          </w:tblCellMar>
        </w:tblPrEx>
        <w:trPr>
          <w:trHeight w:val="342" w:hRule="atLeast"/>
        </w:trPr>
        <w:tc>
          <w:tcPr>
            <w:tcW w:w="19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FCB847">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市校级</w:t>
            </w:r>
          </w:p>
        </w:tc>
        <w:tc>
          <w:tcPr>
            <w:tcW w:w="14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71C5DB">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15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B4CFC6">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3CBC07">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6EAB26F">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r>
      <w:tr w14:paraId="169602E4">
        <w:tblPrEx>
          <w:tblCellMar>
            <w:top w:w="0" w:type="dxa"/>
            <w:left w:w="0" w:type="dxa"/>
            <w:bottom w:w="0" w:type="dxa"/>
            <w:right w:w="0" w:type="dxa"/>
          </w:tblCellMar>
        </w:tblPrEx>
        <w:trPr>
          <w:trHeight w:val="307" w:hRule="atLeast"/>
        </w:trPr>
        <w:tc>
          <w:tcPr>
            <w:tcW w:w="19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D4AD4C">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院级</w:t>
            </w:r>
          </w:p>
        </w:tc>
        <w:tc>
          <w:tcPr>
            <w:tcW w:w="14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21A345">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15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89D84D">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3236B6">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80A560">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r>
    </w:tbl>
    <w:p w14:paraId="5B896BF1">
      <w:pPr>
        <w:spacing w:line="56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注：1、以贵州大学党委、贵州大学、党委研究生工作部颁发的奖项按市校级奖项加分；2、校级其他各团学组织的奖项按院级奖项加分；3、院级各团学组织的奖项按院级奖项加分。4.</w:t>
      </w:r>
      <w:r>
        <w:rPr>
          <w:rFonts w:hint="eastAsia" w:ascii="仿宋" w:hAnsi="仿宋" w:eastAsia="仿宋" w:cs="仿宋"/>
          <w:sz w:val="28"/>
          <w:szCs w:val="28"/>
          <w:highlight w:val="none"/>
        </w:rPr>
        <w:t>团体活动负责人或队长分值按七成计算，其余成员分值减半计算，若无队长则全体成员均减半计算。以上各项均应有正式证明或有关部门核准方可加分。</w:t>
      </w:r>
    </w:p>
    <w:p w14:paraId="1A02F6B2">
      <w:pPr>
        <w:tabs>
          <w:tab w:val="left" w:pos="1306"/>
        </w:tabs>
        <w:spacing w:line="560" w:lineRule="exact"/>
        <w:ind w:firstLine="640" w:firstLineChars="200"/>
        <w:rPr>
          <w:rFonts w:ascii="仿宋_GB2312" w:hAnsi="仿宋" w:eastAsia="仿宋_GB2312" w:cs="仿宋"/>
          <w:sz w:val="32"/>
          <w:szCs w:val="32"/>
          <w:highlight w:val="none"/>
        </w:rPr>
      </w:pPr>
      <w:r>
        <w:rPr>
          <w:rStyle w:val="10"/>
          <w:rFonts w:hint="eastAsia" w:ascii="仿宋_GB2312" w:hAnsi="宋体" w:eastAsia="仿宋_GB2312"/>
          <w:color w:val="000000"/>
          <w:sz w:val="32"/>
          <w:szCs w:val="32"/>
          <w:highlight w:val="none"/>
        </w:rPr>
        <w:t>3.</w:t>
      </w:r>
      <w:r>
        <w:rPr>
          <w:rStyle w:val="10"/>
          <w:rFonts w:ascii="仿宋_GB2312" w:hAnsi="宋体" w:eastAsia="仿宋_GB2312"/>
          <w:color w:val="000000"/>
          <w:sz w:val="32"/>
          <w:szCs w:val="32"/>
          <w:highlight w:val="none"/>
        </w:rPr>
        <w:t>在本年度内获得国家级、省级、校级、院级荣誉称号及表彰</w:t>
      </w:r>
      <w:r>
        <w:rPr>
          <w:rStyle w:val="10"/>
          <w:rFonts w:hint="eastAsia" w:ascii="仿宋_GB2312" w:hAnsi="宋体" w:eastAsia="仿宋_GB2312"/>
          <w:color w:val="000000"/>
          <w:sz w:val="32"/>
          <w:szCs w:val="32"/>
          <w:highlight w:val="none"/>
        </w:rPr>
        <w:t>、</w:t>
      </w:r>
      <w:r>
        <w:rPr>
          <w:rStyle w:val="10"/>
          <w:rFonts w:ascii="仿宋_GB2312" w:hAnsi="宋体" w:eastAsia="仿宋_GB2312"/>
          <w:color w:val="000000"/>
          <w:sz w:val="32"/>
          <w:szCs w:val="32"/>
          <w:highlight w:val="none"/>
        </w:rPr>
        <w:t>本年度评为国家级、省级、校级、院级先进集体的主要负责人</w:t>
      </w:r>
      <w:r>
        <w:rPr>
          <w:rStyle w:val="10"/>
          <w:rFonts w:hint="eastAsia" w:ascii="仿宋_GB2312" w:hAnsi="宋体" w:eastAsia="仿宋_GB2312"/>
          <w:color w:val="000000"/>
          <w:sz w:val="32"/>
          <w:szCs w:val="32"/>
          <w:highlight w:val="none"/>
        </w:rPr>
        <w:t>，如：</w:t>
      </w:r>
      <w:r>
        <w:rPr>
          <w:rFonts w:ascii="仿宋_GB2312" w:hAnsi="仿宋" w:eastAsia="仿宋_GB2312" w:cs="仿宋"/>
          <w:sz w:val="32"/>
          <w:szCs w:val="32"/>
          <w:highlight w:val="none"/>
        </w:rPr>
        <w:t>获得党团荣誉、“最美大学生”“全国百名研究生党员标兵”</w:t>
      </w:r>
      <w:r>
        <w:rPr>
          <w:rFonts w:hint="eastAsia" w:ascii="仿宋_GB2312" w:hAnsi="仿宋" w:eastAsia="仿宋_GB2312" w:cs="仿宋"/>
          <w:sz w:val="32"/>
          <w:szCs w:val="32"/>
          <w:highlight w:val="none"/>
        </w:rPr>
        <w:t>、三好学生、优秀研究生干部等加分如下：</w:t>
      </w:r>
    </w:p>
    <w:p w14:paraId="204696E0">
      <w:pPr>
        <w:tabs>
          <w:tab w:val="left" w:pos="1306"/>
        </w:tabs>
        <w:spacing w:line="560" w:lineRule="exact"/>
        <w:jc w:val="center"/>
        <w:rPr>
          <w:rFonts w:ascii="仿宋_GB2312" w:hAnsi="仿宋" w:eastAsia="仿宋_GB2312" w:cs="仿宋"/>
          <w:b/>
          <w:sz w:val="28"/>
          <w:szCs w:val="32"/>
          <w:highlight w:val="none"/>
        </w:rPr>
      </w:pPr>
      <w:r>
        <w:rPr>
          <w:rFonts w:hint="eastAsia" w:ascii="仿宋_GB2312" w:hAnsi="仿宋" w:eastAsia="仿宋_GB2312" w:cs="仿宋"/>
          <w:b/>
          <w:sz w:val="28"/>
          <w:szCs w:val="32"/>
          <w:highlight w:val="none"/>
        </w:rPr>
        <w:t>荣誉加分标准（单位：分/项）</w:t>
      </w:r>
    </w:p>
    <w:tbl>
      <w:tblPr>
        <w:tblStyle w:val="6"/>
        <w:tblpPr w:leftFromText="180" w:rightFromText="180" w:vertAnchor="text" w:horzAnchor="page" w:tblpX="2190" w:tblpY="41"/>
        <w:tblOverlap w:val="never"/>
        <w:tblW w:w="7708" w:type="dxa"/>
        <w:tblInd w:w="0" w:type="dxa"/>
        <w:tblLayout w:type="fixed"/>
        <w:tblCellMar>
          <w:top w:w="0" w:type="dxa"/>
          <w:left w:w="0" w:type="dxa"/>
          <w:bottom w:w="0" w:type="dxa"/>
          <w:right w:w="0" w:type="dxa"/>
        </w:tblCellMar>
      </w:tblPr>
      <w:tblGrid>
        <w:gridCol w:w="1408"/>
        <w:gridCol w:w="1545"/>
        <w:gridCol w:w="1575"/>
        <w:gridCol w:w="1590"/>
        <w:gridCol w:w="1590"/>
      </w:tblGrid>
      <w:tr w14:paraId="647C0FBB">
        <w:tblPrEx>
          <w:tblCellMar>
            <w:top w:w="0" w:type="dxa"/>
            <w:left w:w="0" w:type="dxa"/>
            <w:bottom w:w="0" w:type="dxa"/>
            <w:right w:w="0" w:type="dxa"/>
          </w:tblCellMar>
        </w:tblPrEx>
        <w:trPr>
          <w:trHeight w:val="575" w:hRule="atLeast"/>
        </w:trPr>
        <w:tc>
          <w:tcPr>
            <w:tcW w:w="1408"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A18132">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奖励级别</w:t>
            </w:r>
          </w:p>
        </w:tc>
        <w:tc>
          <w:tcPr>
            <w:tcW w:w="1545"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A65597">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国家级</w:t>
            </w:r>
          </w:p>
        </w:tc>
        <w:tc>
          <w:tcPr>
            <w:tcW w:w="1575"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D52351">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省级</w:t>
            </w:r>
          </w:p>
        </w:tc>
        <w:tc>
          <w:tcPr>
            <w:tcW w:w="1590"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EFC05D">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校级</w:t>
            </w:r>
          </w:p>
        </w:tc>
        <w:tc>
          <w:tcPr>
            <w:tcW w:w="1590" w:type="dxa"/>
            <w:tcBorders>
              <w:top w:val="single" w:color="auto" w:sz="8" w:space="0"/>
              <w:left w:val="single" w:color="auto" w:sz="4" w:space="0"/>
              <w:bottom w:val="single" w:color="auto" w:sz="4" w:space="0"/>
              <w:right w:val="single" w:color="auto" w:sz="4" w:space="0"/>
            </w:tcBorders>
          </w:tcPr>
          <w:p w14:paraId="64A67311">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院级</w:t>
            </w:r>
          </w:p>
        </w:tc>
      </w:tr>
      <w:tr w14:paraId="475D18DA">
        <w:tblPrEx>
          <w:tblCellMar>
            <w:top w:w="0" w:type="dxa"/>
            <w:left w:w="0" w:type="dxa"/>
            <w:bottom w:w="0" w:type="dxa"/>
            <w:right w:w="0" w:type="dxa"/>
          </w:tblCellMar>
        </w:tblPrEx>
        <w:trPr>
          <w:trHeight w:val="361" w:hRule="atLeast"/>
        </w:trPr>
        <w:tc>
          <w:tcPr>
            <w:tcW w:w="1408"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6E7F43E7">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一等奖</w:t>
            </w:r>
          </w:p>
        </w:tc>
        <w:tc>
          <w:tcPr>
            <w:tcW w:w="1545"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7B329BED">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30</w:t>
            </w:r>
          </w:p>
        </w:tc>
        <w:tc>
          <w:tcPr>
            <w:tcW w:w="1575"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2D19CB03">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20</w:t>
            </w:r>
          </w:p>
        </w:tc>
        <w:tc>
          <w:tcPr>
            <w:tcW w:w="1590"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2C63DDD2">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1590" w:type="dxa"/>
            <w:tcBorders>
              <w:top w:val="single" w:color="auto" w:sz="6" w:space="0"/>
              <w:left w:val="single" w:color="auto" w:sz="4" w:space="0"/>
              <w:bottom w:val="single" w:color="auto" w:sz="6" w:space="0"/>
              <w:right w:val="single" w:color="auto" w:sz="4" w:space="0"/>
            </w:tcBorders>
          </w:tcPr>
          <w:p w14:paraId="06B8FADB">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r>
      <w:tr w14:paraId="0792E76B">
        <w:tblPrEx>
          <w:tblCellMar>
            <w:top w:w="0" w:type="dxa"/>
            <w:left w:w="0" w:type="dxa"/>
            <w:bottom w:w="0" w:type="dxa"/>
            <w:right w:w="0" w:type="dxa"/>
          </w:tblCellMar>
        </w:tblPrEx>
        <w:trPr>
          <w:trHeight w:val="361" w:hRule="atLeast"/>
        </w:trPr>
        <w:tc>
          <w:tcPr>
            <w:tcW w:w="1408"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52142FD3">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二等奖</w:t>
            </w:r>
          </w:p>
        </w:tc>
        <w:tc>
          <w:tcPr>
            <w:tcW w:w="1545"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764FD744">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20</w:t>
            </w:r>
          </w:p>
        </w:tc>
        <w:tc>
          <w:tcPr>
            <w:tcW w:w="1575"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2246009A">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1590"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682E050E">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1590" w:type="dxa"/>
            <w:tcBorders>
              <w:top w:val="single" w:color="auto" w:sz="6" w:space="0"/>
              <w:left w:val="single" w:color="auto" w:sz="4" w:space="0"/>
              <w:bottom w:val="single" w:color="auto" w:sz="6" w:space="0"/>
              <w:right w:val="single" w:color="auto" w:sz="4" w:space="0"/>
            </w:tcBorders>
          </w:tcPr>
          <w:p w14:paraId="65CE184B">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r>
      <w:tr w14:paraId="25B0C859">
        <w:tblPrEx>
          <w:tblCellMar>
            <w:top w:w="0" w:type="dxa"/>
            <w:left w:w="0" w:type="dxa"/>
            <w:bottom w:w="0" w:type="dxa"/>
            <w:right w:w="0" w:type="dxa"/>
          </w:tblCellMar>
        </w:tblPrEx>
        <w:trPr>
          <w:trHeight w:val="361" w:hRule="atLeast"/>
        </w:trPr>
        <w:tc>
          <w:tcPr>
            <w:tcW w:w="1408"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01AA18EF">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三等奖</w:t>
            </w:r>
          </w:p>
        </w:tc>
        <w:tc>
          <w:tcPr>
            <w:tcW w:w="1545"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732B5237">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1575"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66DD832D">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1590" w:type="dxa"/>
            <w:tcBorders>
              <w:top w:val="single" w:color="auto" w:sz="6" w:space="0"/>
              <w:left w:val="single" w:color="auto" w:sz="4" w:space="0"/>
              <w:bottom w:val="single" w:color="auto" w:sz="6" w:space="0"/>
              <w:right w:val="single" w:color="auto" w:sz="4" w:space="0"/>
            </w:tcBorders>
            <w:tcMar>
              <w:top w:w="0" w:type="dxa"/>
              <w:left w:w="108" w:type="dxa"/>
              <w:bottom w:w="0" w:type="dxa"/>
              <w:right w:w="108" w:type="dxa"/>
            </w:tcMar>
            <w:vAlign w:val="center"/>
          </w:tcPr>
          <w:p w14:paraId="5E5A9448">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1590" w:type="dxa"/>
            <w:tcBorders>
              <w:top w:val="single" w:color="auto" w:sz="6" w:space="0"/>
              <w:left w:val="single" w:color="auto" w:sz="4" w:space="0"/>
              <w:bottom w:val="single" w:color="auto" w:sz="6" w:space="0"/>
              <w:right w:val="single" w:color="auto" w:sz="4" w:space="0"/>
            </w:tcBorders>
          </w:tcPr>
          <w:p w14:paraId="6C0B21BD">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r>
    </w:tbl>
    <w:p w14:paraId="3631147C">
      <w:pPr>
        <w:spacing w:line="56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注：1、三好研究生、优秀研究生干部、入学教育优秀学员、优秀党员等以贵州大学党委、贵州大学名义颁发的奖项按校级一等奖加分；2、校级研究生组织优秀研究生干部、优秀共青团员、优秀共青团干部、优秀助管等由党委研究生工作部、共青团贵州大学委员会等校级职能部门颁发的奖项按校级二等奖加分；3、校级其他团学组织颁发的奖项按校级三等奖加分；4、院级三好研究生、优秀研究生干部、文体积极分子、社会实践先进个人等奖项按院级一等奖加分；5、院级学生组织先进个人按院级二等奖加分；6、校级及院级所有单项活动的优秀工作者、先进个人等按照院级三等奖加分。7、校优秀班级、优秀党支部、优秀团支部等集体奖项按校级一等奖计算，获奖集体的主要负责学生干部按对应项目获奖分值加分，其余集体成员加分减半计算。</w:t>
      </w:r>
    </w:p>
    <w:p w14:paraId="549A4BEE">
      <w:pPr>
        <w:tabs>
          <w:tab w:val="left" w:pos="1306"/>
        </w:tabs>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4.</w:t>
      </w:r>
      <w:r>
        <w:rPr>
          <w:rFonts w:ascii="仿宋_GB2312" w:hAnsi="仿宋" w:eastAsia="仿宋_GB2312" w:cs="仿宋"/>
          <w:sz w:val="32"/>
          <w:szCs w:val="32"/>
          <w:highlight w:val="none"/>
        </w:rPr>
        <w:t>个人社会捐助、见义勇为、好人好事等</w:t>
      </w:r>
      <w:r>
        <w:rPr>
          <w:rFonts w:hint="eastAsia" w:ascii="仿宋_GB2312" w:hAnsi="仿宋" w:eastAsia="仿宋_GB2312" w:cs="仿宋"/>
          <w:sz w:val="32"/>
          <w:szCs w:val="32"/>
          <w:highlight w:val="none"/>
        </w:rPr>
        <w:t>加分</w:t>
      </w:r>
    </w:p>
    <w:p w14:paraId="3E47B866">
      <w:pPr>
        <w:spacing w:line="560" w:lineRule="exact"/>
        <w:ind w:firstLine="320" w:firstLineChars="100"/>
        <w:rPr>
          <w:rStyle w:val="10"/>
          <w:rFonts w:ascii="仿宋_GB2312" w:hAnsi="宋体" w:eastAsia="仿宋_GB2312"/>
          <w:color w:val="000000"/>
          <w:sz w:val="32"/>
          <w:szCs w:val="32"/>
          <w:highlight w:val="none"/>
        </w:rPr>
      </w:pPr>
      <w:r>
        <w:rPr>
          <w:rStyle w:val="10"/>
          <w:rFonts w:hint="eastAsia" w:ascii="仿宋_GB2312" w:hAnsi="宋体" w:eastAsia="仿宋_GB2312"/>
          <w:color w:val="000000"/>
          <w:sz w:val="32"/>
          <w:szCs w:val="32"/>
          <w:highlight w:val="none"/>
        </w:rPr>
        <w:t>（</w:t>
      </w:r>
      <w:r>
        <w:rPr>
          <w:rStyle w:val="10"/>
          <w:rFonts w:ascii="仿宋_GB2312" w:hAnsi="宋体" w:eastAsia="仿宋_GB2312"/>
          <w:color w:val="000000"/>
          <w:sz w:val="32"/>
          <w:szCs w:val="32"/>
          <w:highlight w:val="none"/>
        </w:rPr>
        <w:t>1）有见义勇为、抢险救灾、拾金不昧、抢救伤残等突出事例者，可酌情加3分至10分；</w:t>
      </w:r>
    </w:p>
    <w:p w14:paraId="595F1160">
      <w:pPr>
        <w:spacing w:line="560" w:lineRule="exact"/>
        <w:ind w:firstLine="320" w:firstLineChars="100"/>
        <w:rPr>
          <w:rStyle w:val="10"/>
          <w:rFonts w:ascii="仿宋_GB2312" w:hAnsi="宋体" w:eastAsia="仿宋_GB2312"/>
          <w:color w:val="000000"/>
          <w:sz w:val="32"/>
          <w:szCs w:val="32"/>
          <w:highlight w:val="none"/>
        </w:rPr>
      </w:pPr>
      <w:r>
        <w:rPr>
          <w:rStyle w:val="10"/>
          <w:rFonts w:hint="eastAsia" w:ascii="仿宋_GB2312" w:hAnsi="宋体" w:eastAsia="仿宋_GB2312"/>
          <w:color w:val="000000"/>
          <w:sz w:val="32"/>
          <w:szCs w:val="32"/>
          <w:highlight w:val="none"/>
        </w:rPr>
        <w:t>（</w:t>
      </w:r>
      <w:r>
        <w:rPr>
          <w:rStyle w:val="10"/>
          <w:rFonts w:ascii="仿宋_GB2312" w:hAnsi="宋体" w:eastAsia="仿宋_GB2312"/>
          <w:color w:val="000000"/>
          <w:sz w:val="32"/>
          <w:szCs w:val="32"/>
          <w:highlight w:val="none"/>
        </w:rPr>
        <w:t>2）捐献造血干细胞加10分；成功匹配并捐献的加20分。</w:t>
      </w:r>
    </w:p>
    <w:p w14:paraId="046DEB46">
      <w:pPr>
        <w:spacing w:line="560" w:lineRule="exact"/>
        <w:ind w:firstLine="320" w:firstLineChars="100"/>
        <w:rPr>
          <w:rFonts w:ascii="仿宋_GB2312" w:hAnsi="宋体" w:eastAsia="仿宋_GB2312"/>
          <w:color w:val="000000"/>
          <w:sz w:val="32"/>
          <w:szCs w:val="32"/>
          <w:highlight w:val="none"/>
        </w:rPr>
      </w:pPr>
      <w:r>
        <w:rPr>
          <w:rStyle w:val="10"/>
          <w:rFonts w:hint="eastAsia" w:ascii="仿宋_GB2312" w:hAnsi="宋体" w:eastAsia="仿宋_GB2312"/>
          <w:color w:val="000000"/>
          <w:sz w:val="32"/>
          <w:szCs w:val="32"/>
          <w:highlight w:val="none"/>
        </w:rPr>
        <w:t>（</w:t>
      </w:r>
      <w:r>
        <w:rPr>
          <w:rStyle w:val="10"/>
          <w:rFonts w:ascii="仿宋_GB2312" w:hAnsi="宋体" w:eastAsia="仿宋_GB2312"/>
          <w:color w:val="000000"/>
          <w:sz w:val="32"/>
          <w:szCs w:val="32"/>
          <w:highlight w:val="none"/>
        </w:rPr>
        <w:t>3）无偿献血的加</w:t>
      </w:r>
      <w:r>
        <w:rPr>
          <w:rStyle w:val="10"/>
          <w:rFonts w:hint="eastAsia" w:ascii="仿宋_GB2312" w:hAnsi="宋体" w:eastAsia="仿宋_GB2312"/>
          <w:color w:val="000000"/>
          <w:sz w:val="32"/>
          <w:szCs w:val="32"/>
          <w:highlight w:val="none"/>
        </w:rPr>
        <w:t>3</w:t>
      </w:r>
      <w:r>
        <w:rPr>
          <w:rStyle w:val="10"/>
          <w:rFonts w:ascii="仿宋_GB2312" w:hAnsi="宋体" w:eastAsia="仿宋_GB2312"/>
          <w:color w:val="000000"/>
          <w:sz w:val="32"/>
          <w:szCs w:val="32"/>
          <w:highlight w:val="none"/>
        </w:rPr>
        <w:t>分。</w:t>
      </w:r>
    </w:p>
    <w:p w14:paraId="32604734">
      <w:pPr>
        <w:ind w:left="420" w:left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 xml:space="preserve">第十六条  </w:t>
      </w:r>
      <w:r>
        <w:rPr>
          <w:rFonts w:hint="eastAsia" w:ascii="仿宋_GB2312" w:hAnsi="仿宋" w:eastAsia="仿宋_GB2312" w:cs="仿宋"/>
          <w:sz w:val="32"/>
          <w:szCs w:val="32"/>
          <w:highlight w:val="none"/>
        </w:rPr>
        <w:t>有下列情行的酌情扣分</w:t>
      </w:r>
    </w:p>
    <w:p w14:paraId="05C0DAA1">
      <w:pPr>
        <w:spacing w:line="560" w:lineRule="exact"/>
        <w:ind w:firstLine="640" w:firstLineChars="200"/>
        <w:rPr>
          <w:rFonts w:ascii="仿宋_GB2312" w:hAnsi="仿宋" w:eastAsia="仿宋_GB2312" w:cs="仿宋"/>
          <w:sz w:val="32"/>
          <w:szCs w:val="32"/>
          <w:highlight w:val="none"/>
        </w:rPr>
      </w:pPr>
      <w:r>
        <w:rPr>
          <w:rFonts w:ascii="仿宋_GB2312" w:hAnsi="仿宋" w:eastAsia="仿宋_GB2312" w:cs="仿宋"/>
          <w:sz w:val="32"/>
          <w:szCs w:val="32"/>
          <w:highlight w:val="none"/>
        </w:rPr>
        <w:t>1</w:t>
      </w:r>
      <w:r>
        <w:rPr>
          <w:rFonts w:hint="eastAsia" w:ascii="仿宋_GB2312" w:hAnsi="仿宋" w:eastAsia="仿宋_GB2312" w:cs="仿宋"/>
          <w:sz w:val="32"/>
          <w:szCs w:val="32"/>
          <w:highlight w:val="none"/>
        </w:rPr>
        <w:t>.在学校或培养单位组织的寝室检查中，不配合或抵触的一次扣2分，造成不良影响的一次扣5分。检查中，不合格寝室的成员均扣1分，受通报批评的寝室，其成员一次扣2分。</w:t>
      </w:r>
    </w:p>
    <w:p w14:paraId="2EF1A992">
      <w:pPr>
        <w:spacing w:line="560" w:lineRule="exact"/>
        <w:ind w:firstLine="640" w:firstLineChars="200"/>
        <w:rPr>
          <w:rFonts w:ascii="仿宋_GB2312" w:hAnsi="仿宋" w:eastAsia="仿宋_GB2312" w:cs="仿宋"/>
          <w:sz w:val="32"/>
          <w:szCs w:val="32"/>
          <w:highlight w:val="none"/>
        </w:rPr>
      </w:pPr>
      <w:r>
        <w:rPr>
          <w:rFonts w:ascii="仿宋_GB2312" w:hAnsi="仿宋" w:eastAsia="仿宋_GB2312" w:cs="仿宋"/>
          <w:sz w:val="32"/>
          <w:szCs w:val="32"/>
          <w:highlight w:val="none"/>
        </w:rPr>
        <w:t>2</w:t>
      </w:r>
      <w:r>
        <w:rPr>
          <w:rFonts w:hint="eastAsia" w:ascii="仿宋_GB2312" w:hAnsi="仿宋" w:eastAsia="仿宋_GB2312" w:cs="仿宋"/>
          <w:sz w:val="32"/>
          <w:szCs w:val="32"/>
          <w:highlight w:val="none"/>
        </w:rPr>
        <w:t>.在突发、偶发和公共事件处理过程中，不听从组织安排，造成不良影响的一次扣6分。</w:t>
      </w:r>
    </w:p>
    <w:p w14:paraId="56C3FEB3">
      <w:pPr>
        <w:spacing w:line="560" w:lineRule="exact"/>
        <w:ind w:firstLine="640" w:firstLineChars="200"/>
        <w:rPr>
          <w:rFonts w:ascii="仿宋_GB2312" w:hAnsi="仿宋" w:eastAsia="仿宋_GB2312" w:cs="仿宋"/>
          <w:sz w:val="32"/>
          <w:szCs w:val="32"/>
          <w:highlight w:val="none"/>
        </w:rPr>
      </w:pPr>
      <w:r>
        <w:rPr>
          <w:rFonts w:ascii="仿宋_GB2312" w:hAnsi="仿宋" w:eastAsia="仿宋_GB2312" w:cs="仿宋"/>
          <w:sz w:val="32"/>
          <w:szCs w:val="32"/>
          <w:highlight w:val="none"/>
        </w:rPr>
        <w:t>3</w:t>
      </w:r>
      <w:r>
        <w:rPr>
          <w:rFonts w:hint="eastAsia" w:ascii="仿宋_GB2312" w:hAnsi="仿宋" w:eastAsia="仿宋_GB2312" w:cs="仿宋"/>
          <w:sz w:val="32"/>
          <w:szCs w:val="32"/>
          <w:highlight w:val="none"/>
        </w:rPr>
        <w:t>.评奖年度内受通报批评的一次扣6分。</w:t>
      </w:r>
    </w:p>
    <w:p w14:paraId="372B7198">
      <w:pPr>
        <w:spacing w:line="560" w:lineRule="exact"/>
        <w:ind w:firstLine="640" w:firstLineChars="200"/>
        <w:rPr>
          <w:rFonts w:ascii="仿宋_GB2312" w:hAnsi="仿宋" w:eastAsia="仿宋_GB2312" w:cs="仿宋"/>
          <w:sz w:val="32"/>
          <w:szCs w:val="32"/>
          <w:highlight w:val="none"/>
        </w:rPr>
      </w:pPr>
      <w:r>
        <w:rPr>
          <w:rFonts w:ascii="仿宋_GB2312" w:hAnsi="仿宋" w:eastAsia="仿宋_GB2312" w:cs="仿宋"/>
          <w:sz w:val="32"/>
          <w:szCs w:val="32"/>
          <w:highlight w:val="none"/>
        </w:rPr>
        <w:t>4</w:t>
      </w:r>
      <w:r>
        <w:rPr>
          <w:rFonts w:hint="eastAsia" w:ascii="仿宋_GB2312" w:hAnsi="仿宋" w:eastAsia="仿宋_GB2312" w:cs="仿宋"/>
          <w:sz w:val="32"/>
          <w:szCs w:val="32"/>
          <w:highlight w:val="none"/>
        </w:rPr>
        <w:t>.其他各培养单位经公示无异议，报党委研究生工作部（研究生管理处）备案的扣分项目。</w:t>
      </w:r>
    </w:p>
    <w:p w14:paraId="61F7D4B7">
      <w:pPr>
        <w:ind w:firstLine="64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以上各项扣分项可累计扣分。</w:t>
      </w:r>
    </w:p>
    <w:p w14:paraId="10CB841A">
      <w:pPr>
        <w:ind w:firstLine="640"/>
        <w:rPr>
          <w:rFonts w:ascii="仿宋_GB2312" w:hAnsi="仿宋" w:eastAsia="仿宋_GB2312" w:cs="仿宋"/>
          <w:sz w:val="32"/>
          <w:szCs w:val="32"/>
          <w:highlight w:val="none"/>
        </w:rPr>
      </w:pPr>
    </w:p>
    <w:p w14:paraId="10C9D5D0">
      <w:pPr>
        <w:spacing w:line="560" w:lineRule="exact"/>
        <w:ind w:firstLine="2891" w:firstLineChars="900"/>
        <w:rPr>
          <w:rFonts w:ascii="黑体" w:hAnsi="黑体" w:eastAsia="黑体" w:cs="仿宋"/>
          <w:b/>
          <w:bCs/>
          <w:sz w:val="32"/>
          <w:szCs w:val="32"/>
          <w:highlight w:val="none"/>
        </w:rPr>
      </w:pPr>
      <w:r>
        <w:rPr>
          <w:rFonts w:hint="eastAsia" w:ascii="黑体" w:hAnsi="黑体" w:eastAsia="黑体" w:cs="仿宋"/>
          <w:b/>
          <w:bCs/>
          <w:sz w:val="32"/>
          <w:szCs w:val="32"/>
          <w:highlight w:val="none"/>
        </w:rPr>
        <w:t>第六章  智育测评分数</w:t>
      </w:r>
    </w:p>
    <w:p w14:paraId="2D618BAE">
      <w:pPr>
        <w:spacing w:beforeLines="50" w:line="560" w:lineRule="exact"/>
        <w:ind w:firstLine="643" w:firstLineChars="200"/>
        <w:rPr>
          <w:rFonts w:ascii="仿宋_GB2312" w:hAnsi="仿宋" w:eastAsia="仿宋_GB2312" w:cs="仿宋"/>
          <w:sz w:val="32"/>
          <w:szCs w:val="32"/>
          <w:highlight w:val="none"/>
        </w:rPr>
      </w:pPr>
      <w:r>
        <w:rPr>
          <w:rFonts w:hint="eastAsia" w:ascii="仿宋_GB2312" w:hAnsi="仿宋" w:eastAsia="仿宋_GB2312" w:cs="仿宋"/>
          <w:b/>
          <w:sz w:val="32"/>
          <w:szCs w:val="32"/>
          <w:highlight w:val="none"/>
        </w:rPr>
        <w:t>第十七条</w:t>
      </w:r>
      <w:r>
        <w:rPr>
          <w:rFonts w:hint="eastAsia" w:ascii="仿宋_GB2312" w:hAnsi="仿宋" w:eastAsia="仿宋_GB2312" w:cs="仿宋"/>
          <w:sz w:val="32"/>
          <w:szCs w:val="32"/>
          <w:highlight w:val="none"/>
        </w:rPr>
        <w:t xml:space="preserve"> 智育测评分数由课程综合成绩、科研成绩（含各种科研获奖、论文发表、主持科研项目）、学科竞赛成绩组成。</w:t>
      </w:r>
      <w:r>
        <w:rPr>
          <w:rFonts w:ascii="仿宋_GB2312" w:hAnsi="仿宋" w:eastAsia="仿宋_GB2312" w:cs="仿宋"/>
          <w:sz w:val="32"/>
          <w:szCs w:val="32"/>
          <w:highlight w:val="none"/>
        </w:rPr>
        <w:t xml:space="preserve"> </w:t>
      </w:r>
    </w:p>
    <w:p w14:paraId="53C8A095">
      <w:pPr>
        <w:spacing w:beforeLines="50" w:line="560" w:lineRule="exact"/>
        <w:ind w:firstLine="640" w:firstLineChars="200"/>
        <w:rPr>
          <w:rFonts w:ascii="仿宋_GB2312" w:hAnsi="仿宋" w:eastAsia="仿宋_GB2312" w:cs="仿宋"/>
          <w:sz w:val="32"/>
          <w:szCs w:val="32"/>
          <w:highlight w:val="none"/>
        </w:rPr>
      </w:pPr>
    </w:p>
    <w:p w14:paraId="5C83F64C">
      <w:pPr>
        <w:ind w:firstLine="1600" w:firstLineChars="500"/>
        <w:rPr>
          <w:rFonts w:ascii="仿宋_GB2312" w:hAnsi="仿宋" w:eastAsia="仿宋_GB2312" w:cs="仿宋"/>
          <w:sz w:val="32"/>
          <w:szCs w:val="32"/>
          <w:highlight w:val="none"/>
        </w:rPr>
      </w:pPr>
      <w:r>
        <w:rPr>
          <w:rFonts w:ascii="仿宋_GB2312" w:hAnsi="仿宋" w:eastAsia="仿宋_GB2312" w:cs="仿宋"/>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901700</wp:posOffset>
                </wp:positionH>
                <wp:positionV relativeFrom="paragraph">
                  <wp:posOffset>188595</wp:posOffset>
                </wp:positionV>
                <wp:extent cx="64770" cy="937895"/>
                <wp:effectExtent l="38100" t="4445" r="11430" b="10160"/>
                <wp:wrapNone/>
                <wp:docPr id="1" name="左大括号 1"/>
                <wp:cNvGraphicFramePr/>
                <a:graphic xmlns:a="http://schemas.openxmlformats.org/drawingml/2006/main">
                  <a:graphicData uri="http://schemas.microsoft.com/office/word/2010/wordprocessingShape">
                    <wps:wsp>
                      <wps:cNvSpPr/>
                      <wps:spPr>
                        <a:xfrm>
                          <a:off x="0" y="0"/>
                          <a:ext cx="64477" cy="937846"/>
                        </a:xfrm>
                        <a:prstGeom prst="leftBrace">
                          <a:avLst/>
                        </a:prstGeom>
                        <a:noFill/>
                        <a:ln w="635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87" type="#_x0000_t87" style="position:absolute;left:0pt;margin-left:71pt;margin-top:14.85pt;height:73.85pt;width:5.1pt;z-index:251659264;v-text-anchor:middle;mso-width-relative:page;mso-height-relative:page;" filled="f" stroked="t" coordsize="21600,21600" o:gfxdata="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g0OU+dgAAAAKAQAADwAAAAAAAAABACAAAAAiAAAA&#10;ZHJzL2Rvd25yZXYueG1sUEsBAhQAFAAAAAgAh07iQKPeVPZ5AgAA4QQAAA4AAAAAAAAAAQAgAAAA&#10;JwEAAGRycy9lMm9Eb2MueG1sUEsFBgAAAAAGAAYAWQEAABIGAAAAAA==&#10;" adj="123,10800">
                <v:fill on="f" focussize="0,0"/>
                <v:stroke weight="0.5pt" color="#000000" miterlimit="8" joinstyle="miter"/>
                <v:imagedata o:title=""/>
                <o:lock v:ext="edit" aspectratio="f"/>
              </v:shape>
            </w:pict>
          </mc:Fallback>
        </mc:AlternateContent>
      </w:r>
      <w:r>
        <w:rPr>
          <w:rFonts w:hint="eastAsia" w:ascii="仿宋_GB2312" w:hAnsi="仿宋" w:eastAsia="仿宋_GB2312" w:cs="仿宋"/>
          <w:sz w:val="32"/>
          <w:szCs w:val="32"/>
          <w:highlight w:val="none"/>
        </w:rPr>
        <w:t>0.</w:t>
      </w:r>
      <w:r>
        <w:rPr>
          <w:rFonts w:ascii="仿宋_GB2312" w:hAnsi="仿宋" w:eastAsia="仿宋_GB2312" w:cs="仿宋"/>
          <w:sz w:val="32"/>
          <w:szCs w:val="32"/>
          <w:highlight w:val="none"/>
        </w:rPr>
        <w:t>4</w:t>
      </w:r>
      <w:r>
        <w:rPr>
          <w:rFonts w:hint="eastAsia" w:ascii="仿宋_GB2312" w:hAnsi="仿宋" w:eastAsia="仿宋_GB2312" w:cs="仿宋"/>
          <w:sz w:val="32"/>
          <w:szCs w:val="32"/>
          <w:highlight w:val="none"/>
        </w:rPr>
        <w:t>A+0.</w:t>
      </w:r>
      <w:r>
        <w:rPr>
          <w:rFonts w:ascii="仿宋_GB2312" w:hAnsi="仿宋" w:eastAsia="仿宋_GB2312" w:cs="仿宋"/>
          <w:sz w:val="32"/>
          <w:szCs w:val="32"/>
          <w:highlight w:val="none"/>
        </w:rPr>
        <w:t>3</w:t>
      </w:r>
      <w:r>
        <w:rPr>
          <w:rFonts w:hint="eastAsia" w:ascii="仿宋_GB2312" w:hAnsi="仿宋" w:eastAsia="仿宋_GB2312" w:cs="仿宋"/>
          <w:sz w:val="32"/>
          <w:szCs w:val="32"/>
          <w:highlight w:val="none"/>
        </w:rPr>
        <w:t>B+</w:t>
      </w:r>
      <w:r>
        <w:rPr>
          <w:rFonts w:ascii="仿宋_GB2312" w:hAnsi="仿宋" w:eastAsia="仿宋_GB2312" w:cs="仿宋"/>
          <w:sz w:val="32"/>
          <w:szCs w:val="32"/>
          <w:highlight w:val="none"/>
        </w:rPr>
        <w:t>0.3C</w:t>
      </w:r>
      <w:r>
        <w:rPr>
          <w:rFonts w:hint="eastAsia" w:ascii="仿宋_GB2312" w:hAnsi="仿宋" w:eastAsia="仿宋_GB2312" w:cs="仿宋"/>
          <w:sz w:val="32"/>
          <w:szCs w:val="32"/>
          <w:highlight w:val="none"/>
        </w:rPr>
        <w:t xml:space="preserve"> （研二）</w:t>
      </w:r>
    </w:p>
    <w:p w14:paraId="081BEE58">
      <w:pPr>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智育分=</w:t>
      </w:r>
      <w:r>
        <w:rPr>
          <w:rFonts w:ascii="仿宋_GB2312" w:hAnsi="仿宋" w:eastAsia="仿宋_GB2312" w:cs="仿宋"/>
          <w:sz w:val="32"/>
          <w:szCs w:val="32"/>
          <w:highlight w:val="none"/>
        </w:rPr>
        <w:t xml:space="preserve">   </w:t>
      </w:r>
      <w:r>
        <w:rPr>
          <w:rFonts w:hint="eastAsia" w:ascii="仿宋_GB2312" w:hAnsi="仿宋" w:eastAsia="仿宋_GB2312" w:cs="仿宋"/>
          <w:sz w:val="32"/>
          <w:szCs w:val="32"/>
          <w:highlight w:val="none"/>
        </w:rPr>
        <w:t>0.</w:t>
      </w:r>
      <w:r>
        <w:rPr>
          <w:rFonts w:ascii="仿宋_GB2312" w:hAnsi="仿宋" w:eastAsia="仿宋_GB2312" w:cs="仿宋"/>
          <w:sz w:val="32"/>
          <w:szCs w:val="32"/>
          <w:highlight w:val="none"/>
        </w:rPr>
        <w:t>4</w:t>
      </w:r>
      <w:r>
        <w:rPr>
          <w:rFonts w:hint="eastAsia" w:ascii="仿宋_GB2312" w:hAnsi="仿宋" w:eastAsia="仿宋_GB2312" w:cs="仿宋"/>
          <w:sz w:val="32"/>
          <w:szCs w:val="32"/>
          <w:highlight w:val="none"/>
        </w:rPr>
        <w:t>A+0.</w:t>
      </w:r>
      <w:r>
        <w:rPr>
          <w:rFonts w:ascii="仿宋_GB2312" w:hAnsi="仿宋" w:eastAsia="仿宋_GB2312" w:cs="仿宋"/>
          <w:sz w:val="32"/>
          <w:szCs w:val="32"/>
          <w:highlight w:val="none"/>
        </w:rPr>
        <w:t>3</w:t>
      </w:r>
      <w:r>
        <w:rPr>
          <w:rFonts w:hint="eastAsia" w:ascii="仿宋_GB2312" w:hAnsi="仿宋" w:eastAsia="仿宋_GB2312" w:cs="仿宋"/>
          <w:sz w:val="32"/>
          <w:szCs w:val="32"/>
          <w:highlight w:val="none"/>
        </w:rPr>
        <w:t>B+</w:t>
      </w:r>
      <w:r>
        <w:rPr>
          <w:rFonts w:ascii="仿宋_GB2312" w:hAnsi="仿宋" w:eastAsia="仿宋_GB2312" w:cs="仿宋"/>
          <w:sz w:val="32"/>
          <w:szCs w:val="32"/>
          <w:highlight w:val="none"/>
        </w:rPr>
        <w:t>0.3C</w:t>
      </w:r>
      <w:r>
        <w:rPr>
          <w:rFonts w:hint="eastAsia" w:ascii="仿宋_GB2312" w:hAnsi="仿宋" w:eastAsia="仿宋_GB2312" w:cs="仿宋"/>
          <w:sz w:val="32"/>
          <w:szCs w:val="32"/>
          <w:highlight w:val="none"/>
        </w:rPr>
        <w:t xml:space="preserve"> （研三：上一年度有课程成绩）</w:t>
      </w:r>
    </w:p>
    <w:p w14:paraId="35C2099E">
      <w:pPr>
        <w:ind w:firstLine="1600" w:firstLineChars="5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w:t>
      </w:r>
      <w:r>
        <w:rPr>
          <w:rFonts w:ascii="仿宋_GB2312" w:hAnsi="仿宋" w:eastAsia="仿宋_GB2312" w:cs="仿宋"/>
          <w:sz w:val="32"/>
          <w:szCs w:val="32"/>
          <w:highlight w:val="none"/>
        </w:rPr>
        <w:t>7</w:t>
      </w:r>
      <w:r>
        <w:rPr>
          <w:rFonts w:hint="eastAsia" w:ascii="仿宋_GB2312" w:hAnsi="仿宋" w:eastAsia="仿宋_GB2312" w:cs="仿宋"/>
          <w:sz w:val="32"/>
          <w:szCs w:val="32"/>
          <w:highlight w:val="none"/>
        </w:rPr>
        <w:t>B+</w:t>
      </w:r>
      <w:r>
        <w:rPr>
          <w:rFonts w:ascii="仿宋_GB2312" w:hAnsi="仿宋" w:eastAsia="仿宋_GB2312" w:cs="仿宋"/>
          <w:sz w:val="32"/>
          <w:szCs w:val="32"/>
          <w:highlight w:val="none"/>
        </w:rPr>
        <w:t>0.3C</w:t>
      </w:r>
      <w:r>
        <w:rPr>
          <w:rFonts w:hint="eastAsia" w:ascii="仿宋_GB2312" w:hAnsi="仿宋" w:eastAsia="仿宋_GB2312" w:cs="仿宋"/>
          <w:sz w:val="32"/>
          <w:szCs w:val="32"/>
          <w:highlight w:val="none"/>
        </w:rPr>
        <w:t>（研三：上一年度无课程成绩）</w:t>
      </w:r>
    </w:p>
    <w:p w14:paraId="27CBF327">
      <w:pPr>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式中A为课程综合成绩、B为科研成绩、C为学科竞赛成绩。</w:t>
      </w:r>
    </w:p>
    <w:p w14:paraId="7FCF1F7F">
      <w:pPr>
        <w:spacing w:line="560" w:lineRule="exact"/>
        <w:ind w:firstLine="643"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 xml:space="preserve">第十八条 </w:t>
      </w:r>
      <w:r>
        <w:rPr>
          <w:rFonts w:hint="eastAsia" w:ascii="仿宋_GB2312" w:hAnsi="仿宋" w:eastAsia="仿宋_GB2312" w:cs="仿宋"/>
          <w:sz w:val="32"/>
          <w:szCs w:val="32"/>
          <w:highlight w:val="none"/>
        </w:rPr>
        <w:t>课程综合成绩A由研究生培养方案中学位课和非学位课程成绩组成，权重及计算方法如下：</w:t>
      </w:r>
    </w:p>
    <w:p w14:paraId="67DE5B7C">
      <w:pPr>
        <w:spacing w:line="960" w:lineRule="auto"/>
        <w:ind w:firstLine="480" w:firstLineChars="200"/>
        <w:jc w:val="center"/>
        <w:rPr>
          <w:rFonts w:ascii="仿宋" w:hAnsi="仿宋" w:eastAsia="仿宋" w:cs="仿宋"/>
          <w:position w:val="-32"/>
          <w:sz w:val="24"/>
          <w:highlight w:val="none"/>
        </w:rPr>
      </w:pPr>
      <m:oMathPara>
        <m:oMath>
          <m:r>
            <m:rPr/>
            <w:rPr>
              <w:rFonts w:ascii="Cambria Math" w:hAnsi="Cambria Math" w:eastAsia="仿宋" w:cs="仿宋"/>
              <w:sz w:val="24"/>
              <w:highlight w:val="none"/>
            </w:rPr>
            <m:t>A=0.8</m:t>
          </m:r>
          <m:f>
            <m:fPr>
              <m:ctrlPr>
                <w:rPr>
                  <w:rFonts w:ascii="Cambria Math" w:hAnsi="Cambria Math" w:eastAsia="仿宋" w:cs="仿宋"/>
                  <w:i/>
                  <w:sz w:val="24"/>
                  <w:highlight w:val="none"/>
                </w:rPr>
              </m:ctrlPr>
            </m:fPr>
            <m:num>
              <m:nary>
                <m:naryPr>
                  <m:chr m:val="∑"/>
                  <m:subHide m:val="1"/>
                  <m:supHide m:val="1"/>
                  <m:ctrlPr>
                    <w:rPr>
                      <w:rFonts w:ascii="Cambria Math" w:hAnsi="Cambria Math" w:eastAsia="仿宋" w:cs="仿宋"/>
                      <w:i/>
                      <w:sz w:val="24"/>
                      <w:highlight w:val="none"/>
                    </w:rPr>
                  </m:ctrlPr>
                </m:naryPr>
                <m:sub>
                  <m:ctrlPr>
                    <w:rPr>
                      <w:rFonts w:ascii="Cambria Math" w:hAnsi="Cambria Math" w:eastAsia="仿宋" w:cs="仿宋"/>
                      <w:i/>
                      <w:sz w:val="24"/>
                      <w:highlight w:val="none"/>
                    </w:rPr>
                  </m:ctrlPr>
                </m:sub>
                <m:sup>
                  <m:ctrlPr>
                    <w:rPr>
                      <w:rFonts w:ascii="Cambria Math" w:hAnsi="Cambria Math" w:eastAsia="仿宋" w:cs="仿宋"/>
                      <w:i/>
                      <w:sz w:val="24"/>
                      <w:highlight w:val="none"/>
                    </w:rPr>
                  </m:ctrlPr>
                </m:sup>
                <m:e>
                  <m:sSub>
                    <m:sSubPr>
                      <m:ctrlPr>
                        <w:rPr>
                          <w:rFonts w:ascii="Cambria Math" w:hAnsi="Cambria Math" w:eastAsia="仿宋" w:cs="仿宋"/>
                          <w:i/>
                          <w:sz w:val="24"/>
                          <w:highlight w:val="none"/>
                        </w:rPr>
                      </m:ctrlPr>
                    </m:sSubPr>
                    <m:e>
                      <m:r>
                        <m:rPr/>
                        <w:rPr>
                          <w:rFonts w:ascii="Cambria Math" w:hAnsi="Cambria Math" w:eastAsia="仿宋" w:cs="仿宋"/>
                          <w:sz w:val="24"/>
                          <w:highlight w:val="none"/>
                        </w:rPr>
                        <m:t>S</m:t>
                      </m:r>
                      <m:ctrlPr>
                        <w:rPr>
                          <w:rFonts w:ascii="Cambria Math" w:hAnsi="Cambria Math" w:eastAsia="仿宋" w:cs="仿宋"/>
                          <w:i/>
                          <w:sz w:val="24"/>
                          <w:highlight w:val="none"/>
                        </w:rPr>
                      </m:ctrlPr>
                    </m:e>
                    <m:sub>
                      <m:r>
                        <m:rPr/>
                        <w:rPr>
                          <w:rFonts w:ascii="Cambria Math" w:hAnsi="Cambria Math" w:eastAsia="仿宋" w:cs="仿宋"/>
                          <w:sz w:val="24"/>
                          <w:highlight w:val="none"/>
                        </w:rPr>
                        <m:t>1</m:t>
                      </m:r>
                      <m:ctrlPr>
                        <w:rPr>
                          <w:rFonts w:ascii="Cambria Math" w:hAnsi="Cambria Math" w:eastAsia="仿宋" w:cs="仿宋"/>
                          <w:i/>
                          <w:sz w:val="24"/>
                          <w:highlight w:val="none"/>
                        </w:rPr>
                      </m:ctrlPr>
                    </m:sub>
                  </m:sSub>
                  <m:sSub>
                    <m:sSubPr>
                      <m:ctrlPr>
                        <w:rPr>
                          <w:rFonts w:ascii="Cambria Math" w:hAnsi="Cambria Math" w:eastAsia="仿宋" w:cs="仿宋"/>
                          <w:i/>
                          <w:sz w:val="24"/>
                          <w:highlight w:val="none"/>
                        </w:rPr>
                      </m:ctrlPr>
                    </m:sSubPr>
                    <m:e>
                      <m:r>
                        <m:rPr/>
                        <w:rPr>
                          <w:rFonts w:ascii="Cambria Math" w:hAnsi="Cambria Math" w:eastAsia="仿宋" w:cs="仿宋"/>
                          <w:sz w:val="24"/>
                          <w:highlight w:val="none"/>
                        </w:rPr>
                        <m:t>N</m:t>
                      </m:r>
                      <m:ctrlPr>
                        <w:rPr>
                          <w:rFonts w:ascii="Cambria Math" w:hAnsi="Cambria Math" w:eastAsia="仿宋" w:cs="仿宋"/>
                          <w:i/>
                          <w:sz w:val="24"/>
                          <w:highlight w:val="none"/>
                        </w:rPr>
                      </m:ctrlPr>
                    </m:e>
                    <m:sub>
                      <m:r>
                        <m:rPr/>
                        <w:rPr>
                          <w:rFonts w:ascii="Cambria Math" w:hAnsi="Cambria Math" w:eastAsia="仿宋" w:cs="仿宋"/>
                          <w:sz w:val="24"/>
                          <w:highlight w:val="none"/>
                        </w:rPr>
                        <m:t>1</m:t>
                      </m:r>
                      <m:ctrlPr>
                        <w:rPr>
                          <w:rFonts w:ascii="Cambria Math" w:hAnsi="Cambria Math" w:eastAsia="仿宋" w:cs="仿宋"/>
                          <w:i/>
                          <w:sz w:val="24"/>
                          <w:highlight w:val="none"/>
                        </w:rPr>
                      </m:ctrlPr>
                    </m:sub>
                  </m:sSub>
                  <m:ctrlPr>
                    <w:rPr>
                      <w:rFonts w:ascii="Cambria Math" w:hAnsi="Cambria Math" w:eastAsia="仿宋" w:cs="仿宋"/>
                      <w:i/>
                      <w:sz w:val="24"/>
                      <w:highlight w:val="none"/>
                    </w:rPr>
                  </m:ctrlPr>
                </m:e>
              </m:nary>
              <m:ctrlPr>
                <w:rPr>
                  <w:rFonts w:ascii="Cambria Math" w:hAnsi="Cambria Math" w:eastAsia="仿宋" w:cs="仿宋"/>
                  <w:i/>
                  <w:sz w:val="24"/>
                  <w:highlight w:val="none"/>
                </w:rPr>
              </m:ctrlPr>
            </m:num>
            <m:den>
              <m:nary>
                <m:naryPr>
                  <m:chr m:val="∑"/>
                  <m:subHide m:val="1"/>
                  <m:supHide m:val="1"/>
                  <m:ctrlPr>
                    <w:rPr>
                      <w:rFonts w:ascii="Cambria Math" w:hAnsi="Cambria Math" w:eastAsia="仿宋" w:cs="仿宋"/>
                      <w:i/>
                      <w:sz w:val="24"/>
                      <w:highlight w:val="none"/>
                    </w:rPr>
                  </m:ctrlPr>
                </m:naryPr>
                <m:sub>
                  <m:ctrlPr>
                    <w:rPr>
                      <w:rFonts w:ascii="Cambria Math" w:hAnsi="Cambria Math" w:eastAsia="仿宋" w:cs="仿宋"/>
                      <w:i/>
                      <w:sz w:val="24"/>
                      <w:highlight w:val="none"/>
                    </w:rPr>
                  </m:ctrlPr>
                </m:sub>
                <m:sup>
                  <m:ctrlPr>
                    <w:rPr>
                      <w:rFonts w:ascii="Cambria Math" w:hAnsi="Cambria Math" w:eastAsia="仿宋" w:cs="仿宋"/>
                      <w:i/>
                      <w:sz w:val="24"/>
                      <w:highlight w:val="none"/>
                    </w:rPr>
                  </m:ctrlPr>
                </m:sup>
                <m:e>
                  <m:sSub>
                    <m:sSubPr>
                      <m:ctrlPr>
                        <w:rPr>
                          <w:rFonts w:ascii="Cambria Math" w:hAnsi="Cambria Math" w:eastAsia="仿宋" w:cs="仿宋"/>
                          <w:i/>
                          <w:sz w:val="24"/>
                          <w:highlight w:val="none"/>
                        </w:rPr>
                      </m:ctrlPr>
                    </m:sSubPr>
                    <m:e>
                      <m:r>
                        <m:rPr/>
                        <w:rPr>
                          <w:rFonts w:ascii="Cambria Math" w:hAnsi="Cambria Math" w:eastAsia="仿宋" w:cs="仿宋"/>
                          <w:sz w:val="24"/>
                          <w:highlight w:val="none"/>
                        </w:rPr>
                        <m:t>N</m:t>
                      </m:r>
                      <m:ctrlPr>
                        <w:rPr>
                          <w:rFonts w:ascii="Cambria Math" w:hAnsi="Cambria Math" w:eastAsia="仿宋" w:cs="仿宋"/>
                          <w:i/>
                          <w:sz w:val="24"/>
                          <w:highlight w:val="none"/>
                        </w:rPr>
                      </m:ctrlPr>
                    </m:e>
                    <m:sub>
                      <m:r>
                        <m:rPr/>
                        <w:rPr>
                          <w:rFonts w:ascii="Cambria Math" w:hAnsi="Cambria Math" w:eastAsia="仿宋" w:cs="仿宋"/>
                          <w:sz w:val="24"/>
                          <w:highlight w:val="none"/>
                        </w:rPr>
                        <m:t>1</m:t>
                      </m:r>
                      <m:ctrlPr>
                        <w:rPr>
                          <w:rFonts w:ascii="Cambria Math" w:hAnsi="Cambria Math" w:eastAsia="仿宋" w:cs="仿宋"/>
                          <w:i/>
                          <w:sz w:val="24"/>
                          <w:highlight w:val="none"/>
                        </w:rPr>
                      </m:ctrlPr>
                    </m:sub>
                  </m:sSub>
                  <m:ctrlPr>
                    <w:rPr>
                      <w:rFonts w:ascii="Cambria Math" w:hAnsi="Cambria Math" w:eastAsia="仿宋" w:cs="仿宋"/>
                      <w:i/>
                      <w:sz w:val="24"/>
                      <w:highlight w:val="none"/>
                    </w:rPr>
                  </m:ctrlPr>
                </m:e>
              </m:nary>
              <m:ctrlPr>
                <w:rPr>
                  <w:rFonts w:ascii="Cambria Math" w:hAnsi="Cambria Math" w:eastAsia="仿宋" w:cs="仿宋"/>
                  <w:i/>
                  <w:sz w:val="24"/>
                  <w:highlight w:val="none"/>
                </w:rPr>
              </m:ctrlPr>
            </m:den>
          </m:f>
          <m:r>
            <m:rPr/>
            <w:rPr>
              <w:rFonts w:ascii="Cambria Math" w:hAnsi="Cambria Math" w:eastAsia="仿宋" w:cs="仿宋"/>
              <w:sz w:val="24"/>
              <w:highlight w:val="none"/>
            </w:rPr>
            <m:t>+0.2</m:t>
          </m:r>
          <m:f>
            <m:fPr>
              <m:ctrlPr>
                <w:rPr>
                  <w:rFonts w:ascii="Cambria Math" w:hAnsi="Cambria Math" w:eastAsia="仿宋" w:cs="仿宋"/>
                  <w:i/>
                  <w:sz w:val="24"/>
                  <w:highlight w:val="none"/>
                </w:rPr>
              </m:ctrlPr>
            </m:fPr>
            <m:num>
              <m:nary>
                <m:naryPr>
                  <m:chr m:val="∑"/>
                  <m:subHide m:val="1"/>
                  <m:supHide m:val="1"/>
                  <m:ctrlPr>
                    <w:rPr>
                      <w:rFonts w:ascii="Cambria Math" w:hAnsi="Cambria Math" w:eastAsia="仿宋" w:cs="仿宋"/>
                      <w:i/>
                      <w:sz w:val="24"/>
                      <w:highlight w:val="none"/>
                    </w:rPr>
                  </m:ctrlPr>
                </m:naryPr>
                <m:sub>
                  <m:ctrlPr>
                    <w:rPr>
                      <w:rFonts w:ascii="Cambria Math" w:hAnsi="Cambria Math" w:eastAsia="仿宋" w:cs="仿宋"/>
                      <w:i/>
                      <w:sz w:val="24"/>
                      <w:highlight w:val="none"/>
                    </w:rPr>
                  </m:ctrlPr>
                </m:sub>
                <m:sup>
                  <m:ctrlPr>
                    <w:rPr>
                      <w:rFonts w:ascii="Cambria Math" w:hAnsi="Cambria Math" w:eastAsia="仿宋" w:cs="仿宋"/>
                      <w:i/>
                      <w:sz w:val="24"/>
                      <w:highlight w:val="none"/>
                    </w:rPr>
                  </m:ctrlPr>
                </m:sup>
                <m:e>
                  <m:sSub>
                    <m:sSubPr>
                      <m:ctrlPr>
                        <w:rPr>
                          <w:rFonts w:ascii="Cambria Math" w:hAnsi="Cambria Math" w:eastAsia="仿宋" w:cs="仿宋"/>
                          <w:i/>
                          <w:sz w:val="24"/>
                          <w:highlight w:val="none"/>
                        </w:rPr>
                      </m:ctrlPr>
                    </m:sSubPr>
                    <m:e>
                      <m:r>
                        <m:rPr/>
                        <w:rPr>
                          <w:rFonts w:ascii="Cambria Math" w:hAnsi="Cambria Math" w:eastAsia="仿宋" w:cs="仿宋"/>
                          <w:sz w:val="24"/>
                          <w:highlight w:val="none"/>
                        </w:rPr>
                        <m:t>S</m:t>
                      </m:r>
                      <m:ctrlPr>
                        <w:rPr>
                          <w:rFonts w:ascii="Cambria Math" w:hAnsi="Cambria Math" w:eastAsia="仿宋" w:cs="仿宋"/>
                          <w:i/>
                          <w:sz w:val="24"/>
                          <w:highlight w:val="none"/>
                        </w:rPr>
                      </m:ctrlPr>
                    </m:e>
                    <m:sub>
                      <m:r>
                        <m:rPr/>
                        <w:rPr>
                          <w:rFonts w:ascii="Cambria Math" w:hAnsi="Cambria Math" w:eastAsia="仿宋" w:cs="仿宋"/>
                          <w:sz w:val="24"/>
                          <w:highlight w:val="none"/>
                        </w:rPr>
                        <m:t>2</m:t>
                      </m:r>
                      <m:ctrlPr>
                        <w:rPr>
                          <w:rFonts w:ascii="Cambria Math" w:hAnsi="Cambria Math" w:eastAsia="仿宋" w:cs="仿宋"/>
                          <w:i/>
                          <w:sz w:val="24"/>
                          <w:highlight w:val="none"/>
                        </w:rPr>
                      </m:ctrlPr>
                    </m:sub>
                  </m:sSub>
                  <m:sSub>
                    <m:sSubPr>
                      <m:ctrlPr>
                        <w:rPr>
                          <w:rFonts w:ascii="Cambria Math" w:hAnsi="Cambria Math" w:eastAsia="仿宋" w:cs="仿宋"/>
                          <w:i/>
                          <w:sz w:val="24"/>
                          <w:highlight w:val="none"/>
                        </w:rPr>
                      </m:ctrlPr>
                    </m:sSubPr>
                    <m:e>
                      <m:r>
                        <m:rPr/>
                        <w:rPr>
                          <w:rFonts w:ascii="Cambria Math" w:hAnsi="Cambria Math" w:eastAsia="仿宋" w:cs="仿宋"/>
                          <w:sz w:val="24"/>
                          <w:highlight w:val="none"/>
                        </w:rPr>
                        <m:t>N</m:t>
                      </m:r>
                      <m:ctrlPr>
                        <w:rPr>
                          <w:rFonts w:ascii="Cambria Math" w:hAnsi="Cambria Math" w:eastAsia="仿宋" w:cs="仿宋"/>
                          <w:i/>
                          <w:sz w:val="24"/>
                          <w:highlight w:val="none"/>
                        </w:rPr>
                      </m:ctrlPr>
                    </m:e>
                    <m:sub>
                      <m:r>
                        <m:rPr/>
                        <w:rPr>
                          <w:rFonts w:ascii="Cambria Math" w:hAnsi="Cambria Math" w:eastAsia="仿宋" w:cs="仿宋"/>
                          <w:sz w:val="24"/>
                          <w:highlight w:val="none"/>
                        </w:rPr>
                        <m:t>2</m:t>
                      </m:r>
                      <m:ctrlPr>
                        <w:rPr>
                          <w:rFonts w:ascii="Cambria Math" w:hAnsi="Cambria Math" w:eastAsia="仿宋" w:cs="仿宋"/>
                          <w:i/>
                          <w:sz w:val="24"/>
                          <w:highlight w:val="none"/>
                        </w:rPr>
                      </m:ctrlPr>
                    </m:sub>
                  </m:sSub>
                  <m:ctrlPr>
                    <w:rPr>
                      <w:rFonts w:ascii="Cambria Math" w:hAnsi="Cambria Math" w:eastAsia="仿宋" w:cs="仿宋"/>
                      <w:i/>
                      <w:sz w:val="24"/>
                      <w:highlight w:val="none"/>
                    </w:rPr>
                  </m:ctrlPr>
                </m:e>
              </m:nary>
              <m:ctrlPr>
                <w:rPr>
                  <w:rFonts w:ascii="Cambria Math" w:hAnsi="Cambria Math" w:eastAsia="仿宋" w:cs="仿宋"/>
                  <w:i/>
                  <w:sz w:val="24"/>
                  <w:highlight w:val="none"/>
                </w:rPr>
              </m:ctrlPr>
            </m:num>
            <m:den>
              <m:nary>
                <m:naryPr>
                  <m:chr m:val="∑"/>
                  <m:subHide m:val="1"/>
                  <m:supHide m:val="1"/>
                  <m:ctrlPr>
                    <w:rPr>
                      <w:rFonts w:ascii="Cambria Math" w:hAnsi="Cambria Math" w:eastAsia="仿宋" w:cs="仿宋"/>
                      <w:i/>
                      <w:sz w:val="24"/>
                      <w:highlight w:val="none"/>
                    </w:rPr>
                  </m:ctrlPr>
                </m:naryPr>
                <m:sub>
                  <m:ctrlPr>
                    <w:rPr>
                      <w:rFonts w:ascii="Cambria Math" w:hAnsi="Cambria Math" w:eastAsia="仿宋" w:cs="仿宋"/>
                      <w:i/>
                      <w:sz w:val="24"/>
                      <w:highlight w:val="none"/>
                    </w:rPr>
                  </m:ctrlPr>
                </m:sub>
                <m:sup>
                  <m:ctrlPr>
                    <w:rPr>
                      <w:rFonts w:ascii="Cambria Math" w:hAnsi="Cambria Math" w:eastAsia="仿宋" w:cs="仿宋"/>
                      <w:i/>
                      <w:sz w:val="24"/>
                      <w:highlight w:val="none"/>
                    </w:rPr>
                  </m:ctrlPr>
                </m:sup>
                <m:e>
                  <m:sSub>
                    <m:sSubPr>
                      <m:ctrlPr>
                        <w:rPr>
                          <w:rFonts w:ascii="Cambria Math" w:hAnsi="Cambria Math" w:eastAsia="仿宋" w:cs="仿宋"/>
                          <w:i/>
                          <w:sz w:val="24"/>
                          <w:highlight w:val="none"/>
                        </w:rPr>
                      </m:ctrlPr>
                    </m:sSubPr>
                    <m:e>
                      <m:r>
                        <m:rPr/>
                        <w:rPr>
                          <w:rFonts w:ascii="Cambria Math" w:hAnsi="Cambria Math" w:eastAsia="仿宋" w:cs="仿宋"/>
                          <w:sz w:val="24"/>
                          <w:highlight w:val="none"/>
                        </w:rPr>
                        <m:t>N</m:t>
                      </m:r>
                      <m:ctrlPr>
                        <w:rPr>
                          <w:rFonts w:ascii="Cambria Math" w:hAnsi="Cambria Math" w:eastAsia="仿宋" w:cs="仿宋"/>
                          <w:i/>
                          <w:sz w:val="24"/>
                          <w:highlight w:val="none"/>
                        </w:rPr>
                      </m:ctrlPr>
                    </m:e>
                    <m:sub>
                      <m:r>
                        <m:rPr/>
                        <w:rPr>
                          <w:rFonts w:ascii="Cambria Math" w:hAnsi="Cambria Math" w:eastAsia="仿宋" w:cs="仿宋"/>
                          <w:sz w:val="24"/>
                          <w:highlight w:val="none"/>
                        </w:rPr>
                        <m:t>2</m:t>
                      </m:r>
                      <m:ctrlPr>
                        <w:rPr>
                          <w:rFonts w:ascii="Cambria Math" w:hAnsi="Cambria Math" w:eastAsia="仿宋" w:cs="仿宋"/>
                          <w:i/>
                          <w:sz w:val="24"/>
                          <w:highlight w:val="none"/>
                        </w:rPr>
                      </m:ctrlPr>
                    </m:sub>
                  </m:sSub>
                  <m:ctrlPr>
                    <w:rPr>
                      <w:rFonts w:ascii="Cambria Math" w:hAnsi="Cambria Math" w:eastAsia="仿宋" w:cs="仿宋"/>
                      <w:i/>
                      <w:sz w:val="24"/>
                      <w:highlight w:val="none"/>
                    </w:rPr>
                  </m:ctrlPr>
                </m:e>
              </m:nary>
              <m:ctrlPr>
                <w:rPr>
                  <w:rFonts w:ascii="Cambria Math" w:hAnsi="Cambria Math" w:eastAsia="仿宋" w:cs="仿宋"/>
                  <w:i/>
                  <w:sz w:val="24"/>
                  <w:highlight w:val="none"/>
                </w:rPr>
              </m:ctrlPr>
            </m:den>
          </m:f>
        </m:oMath>
      </m:oMathPara>
    </w:p>
    <w:p w14:paraId="050B4777">
      <w:pPr>
        <w:spacing w:line="56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其中，</w:t>
      </w:r>
      <w:r>
        <w:rPr>
          <w:rFonts w:ascii="仿宋_GB2312" w:hAnsi="仿宋" w:eastAsia="仿宋_GB2312" w:cs="仿宋"/>
          <w:sz w:val="32"/>
          <w:szCs w:val="32"/>
          <w:highlight w:val="none"/>
        </w:rPr>
        <w:t>A</w:t>
      </w:r>
      <w:r>
        <w:rPr>
          <w:rFonts w:hint="eastAsia" w:ascii="仿宋_GB2312" w:hAnsi="仿宋" w:eastAsia="仿宋_GB2312" w:cs="仿宋"/>
          <w:sz w:val="32"/>
          <w:szCs w:val="32"/>
          <w:highlight w:val="none"/>
        </w:rPr>
        <w:t>为课程综合成绩，S1为学位课（含必修课）成绩，N1为对应的课程学分，S2为非学位课成绩，N2为对应的课程学分。成绩按百分制计算。</w:t>
      </w:r>
    </w:p>
    <w:p w14:paraId="2C616D89">
      <w:pPr>
        <w:spacing w:line="560" w:lineRule="exact"/>
        <w:ind w:firstLine="640" w:firstLineChars="200"/>
        <w:rPr>
          <w:rFonts w:ascii="仿宋_GB2312" w:hAnsi="仿宋" w:eastAsia="仿宋_GB2312" w:cs="仿宋"/>
          <w:sz w:val="32"/>
          <w:szCs w:val="32"/>
          <w:highlight w:val="none"/>
        </w:rPr>
      </w:pPr>
      <w:r>
        <w:rPr>
          <w:rFonts w:ascii="仿宋_GB2312" w:hAnsi="仿宋" w:eastAsia="仿宋_GB2312" w:cs="仿宋"/>
          <w:sz w:val="32"/>
          <w:szCs w:val="32"/>
          <w:highlight w:val="none"/>
        </w:rPr>
        <w:t>注：学习成绩以学生从研究生信息管理系统中打印出来，且经过相关老师审核及盖章的纸质版为准；在规定时间内应修而未修的课程，以零分参与计算。</w:t>
      </w:r>
    </w:p>
    <w:p w14:paraId="79B26DEB">
      <w:pPr>
        <w:spacing w:line="560" w:lineRule="exact"/>
        <w:ind w:firstLine="640" w:firstLineChars="200"/>
        <w:rPr>
          <w:rFonts w:ascii="仿宋_GB2312" w:hAnsi="仿宋" w:eastAsia="仿宋_GB2312" w:cs="仿宋"/>
          <w:sz w:val="32"/>
          <w:szCs w:val="32"/>
          <w:highlight w:val="none"/>
        </w:rPr>
      </w:pPr>
      <w:r>
        <w:rPr>
          <w:rFonts w:ascii="仿宋_GB2312" w:hAnsi="仿宋" w:eastAsia="仿宋_GB2312" w:cs="仿宋"/>
          <w:sz w:val="32"/>
          <w:szCs w:val="32"/>
          <w:highlight w:val="none"/>
        </w:rPr>
        <w:t>任课教师应在每年度评定奖学金前将该门课程考试或考核分数给出。由于学生原因评定前教师仍未给出课程分数者，该门课程一律以不及格计，按前述参评条件，取消其参评资格。</w:t>
      </w:r>
    </w:p>
    <w:p w14:paraId="4ABE099F">
      <w:pPr>
        <w:spacing w:line="560" w:lineRule="exact"/>
        <w:ind w:firstLine="643"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 xml:space="preserve">第十九条 </w:t>
      </w:r>
      <w:r>
        <w:rPr>
          <w:rFonts w:hint="eastAsia" w:ascii="仿宋_GB2312" w:hAnsi="仿宋" w:eastAsia="仿宋_GB2312" w:cs="仿宋"/>
          <w:sz w:val="32"/>
          <w:szCs w:val="32"/>
          <w:highlight w:val="none"/>
        </w:rPr>
        <w:t>科研成绩B包括科研（学术）奖励、学术论文（专著）、专利、科研项目、其他事项等。科研成绩可累加，但所有成果在奖学金评定中（单项奖除外）不能重复使用，具体计分办法如下：</w:t>
      </w:r>
    </w:p>
    <w:p w14:paraId="460BF203">
      <w:pPr>
        <w:spacing w:line="500" w:lineRule="atLeast"/>
        <w:jc w:val="center"/>
        <w:rPr>
          <w:rFonts w:ascii="仿宋_GB2312" w:hAnsi="仿宋" w:eastAsia="仿宋_GB2312" w:cs="仿宋"/>
          <w:b/>
          <w:sz w:val="28"/>
          <w:szCs w:val="32"/>
          <w:highlight w:val="none"/>
        </w:rPr>
      </w:pPr>
      <w:r>
        <w:rPr>
          <w:rFonts w:hint="eastAsia" w:ascii="仿宋_GB2312" w:hAnsi="仿宋" w:eastAsia="仿宋_GB2312" w:cs="仿宋"/>
          <w:b/>
          <w:sz w:val="28"/>
          <w:szCs w:val="32"/>
          <w:highlight w:val="none"/>
        </w:rPr>
        <w:t>科研（学术）奖励的计分标准（单位：分/项）</w:t>
      </w:r>
    </w:p>
    <w:tbl>
      <w:tblPr>
        <w:tblStyle w:val="6"/>
        <w:tblW w:w="0" w:type="auto"/>
        <w:jc w:val="center"/>
        <w:tblLayout w:type="fixed"/>
        <w:tblCellMar>
          <w:top w:w="0" w:type="dxa"/>
          <w:left w:w="0" w:type="dxa"/>
          <w:bottom w:w="0" w:type="dxa"/>
          <w:right w:w="0" w:type="dxa"/>
        </w:tblCellMar>
      </w:tblPr>
      <w:tblGrid>
        <w:gridCol w:w="2194"/>
        <w:gridCol w:w="1358"/>
        <w:gridCol w:w="1359"/>
        <w:gridCol w:w="1359"/>
        <w:gridCol w:w="1593"/>
      </w:tblGrid>
      <w:tr w14:paraId="362775A2">
        <w:tblPrEx>
          <w:tblCellMar>
            <w:top w:w="0" w:type="dxa"/>
            <w:left w:w="0" w:type="dxa"/>
            <w:bottom w:w="0" w:type="dxa"/>
            <w:right w:w="0" w:type="dxa"/>
          </w:tblCellMar>
        </w:tblPrEx>
        <w:trPr>
          <w:trHeight w:val="816" w:hRule="atLeast"/>
          <w:jc w:val="center"/>
        </w:trPr>
        <w:tc>
          <w:tcPr>
            <w:tcW w:w="2194" w:type="dxa"/>
            <w:tcBorders>
              <w:top w:val="single" w:color="auto" w:sz="8" w:space="0"/>
              <w:left w:val="single" w:color="auto" w:sz="8" w:space="0"/>
              <w:bottom w:val="single" w:color="auto" w:sz="8" w:space="0"/>
              <w:right w:val="single" w:color="auto" w:sz="8" w:space="0"/>
              <w:tl2br w:val="single" w:color="auto" w:sz="4" w:space="0"/>
            </w:tcBorders>
            <w:tcMar>
              <w:top w:w="0" w:type="dxa"/>
              <w:left w:w="108" w:type="dxa"/>
              <w:bottom w:w="0" w:type="dxa"/>
              <w:right w:w="108" w:type="dxa"/>
            </w:tcMar>
            <w:vAlign w:val="center"/>
          </w:tcPr>
          <w:p w14:paraId="3D10FA8A">
            <w:pPr>
              <w:spacing w:line="500" w:lineRule="atLeast"/>
              <w:rPr>
                <w:rFonts w:ascii="仿宋" w:hAnsi="仿宋" w:eastAsia="仿宋"/>
                <w:sz w:val="28"/>
                <w:szCs w:val="28"/>
                <w:highlight w:val="none"/>
              </w:rPr>
            </w:pPr>
            <w:r>
              <w:rPr>
                <w:rFonts w:hint="eastAsia" w:ascii="仿宋" w:hAnsi="仿宋" w:eastAsia="仿宋"/>
                <w:sz w:val="28"/>
                <w:szCs w:val="28"/>
                <w:highlight w:val="none"/>
              </w:rPr>
              <w:t xml:space="preserve">          等次</w:t>
            </w:r>
          </w:p>
          <w:p w14:paraId="5A599ADD">
            <w:pPr>
              <w:spacing w:line="500" w:lineRule="atLeast"/>
              <w:rPr>
                <w:rFonts w:ascii="仿宋" w:hAnsi="仿宋" w:eastAsia="仿宋"/>
                <w:sz w:val="28"/>
                <w:szCs w:val="28"/>
                <w:highlight w:val="none"/>
              </w:rPr>
            </w:pPr>
            <w:r>
              <w:rPr>
                <w:rFonts w:hint="eastAsia" w:ascii="仿宋" w:hAnsi="仿宋" w:eastAsia="仿宋"/>
                <w:sz w:val="28"/>
                <w:szCs w:val="28"/>
                <w:highlight w:val="none"/>
              </w:rPr>
              <w:t>获奖级别</w:t>
            </w:r>
          </w:p>
        </w:tc>
        <w:tc>
          <w:tcPr>
            <w:tcW w:w="135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97264BC">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一等奖</w:t>
            </w:r>
          </w:p>
        </w:tc>
        <w:tc>
          <w:tcPr>
            <w:tcW w:w="13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493BC22">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二等奖</w:t>
            </w:r>
          </w:p>
        </w:tc>
        <w:tc>
          <w:tcPr>
            <w:tcW w:w="13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FDE3DF">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三等奖</w:t>
            </w:r>
          </w:p>
        </w:tc>
        <w:tc>
          <w:tcPr>
            <w:tcW w:w="1593" w:type="dxa"/>
            <w:tcBorders>
              <w:top w:val="single" w:color="auto" w:sz="8" w:space="0"/>
              <w:left w:val="nil"/>
              <w:bottom w:val="single" w:color="auto" w:sz="8" w:space="0"/>
              <w:right w:val="single" w:color="auto" w:sz="8" w:space="0"/>
            </w:tcBorders>
            <w:vAlign w:val="center"/>
          </w:tcPr>
          <w:p w14:paraId="0BF91ADE">
            <w:pPr>
              <w:spacing w:line="276" w:lineRule="auto"/>
              <w:ind w:firstLine="280" w:firstLineChars="100"/>
              <w:rPr>
                <w:rFonts w:ascii="仿宋" w:hAnsi="仿宋" w:eastAsia="仿宋"/>
                <w:sz w:val="28"/>
                <w:szCs w:val="28"/>
                <w:highlight w:val="none"/>
              </w:rPr>
            </w:pPr>
            <w:r>
              <w:rPr>
                <w:rFonts w:hint="eastAsia" w:ascii="仿宋" w:hAnsi="仿宋" w:eastAsia="仿宋"/>
                <w:sz w:val="28"/>
                <w:szCs w:val="28"/>
                <w:highlight w:val="none"/>
              </w:rPr>
              <w:t>优秀奖</w:t>
            </w:r>
          </w:p>
        </w:tc>
      </w:tr>
      <w:tr w14:paraId="3C84A621">
        <w:tblPrEx>
          <w:tblCellMar>
            <w:top w:w="0" w:type="dxa"/>
            <w:left w:w="0" w:type="dxa"/>
            <w:bottom w:w="0" w:type="dxa"/>
            <w:right w:w="0" w:type="dxa"/>
          </w:tblCellMar>
        </w:tblPrEx>
        <w:trPr>
          <w:trHeight w:val="421" w:hRule="atLeast"/>
          <w:jc w:val="center"/>
        </w:trPr>
        <w:tc>
          <w:tcPr>
            <w:tcW w:w="219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4B4B9E">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国家级</w:t>
            </w:r>
          </w:p>
        </w:tc>
        <w:tc>
          <w:tcPr>
            <w:tcW w:w="1358" w:type="dxa"/>
            <w:tcBorders>
              <w:top w:val="nil"/>
              <w:left w:val="nil"/>
              <w:bottom w:val="single" w:color="auto" w:sz="8" w:space="0"/>
              <w:right w:val="single" w:color="auto" w:sz="8" w:space="0"/>
            </w:tcBorders>
            <w:tcMar>
              <w:top w:w="0" w:type="dxa"/>
              <w:left w:w="108" w:type="dxa"/>
              <w:bottom w:w="0" w:type="dxa"/>
              <w:right w:w="108" w:type="dxa"/>
            </w:tcMar>
            <w:vAlign w:val="center"/>
          </w:tcPr>
          <w:p w14:paraId="7148AA5D">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200</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center"/>
          </w:tcPr>
          <w:p w14:paraId="2E3303E4">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150</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center"/>
          </w:tcPr>
          <w:p w14:paraId="11657413">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100</w:t>
            </w:r>
          </w:p>
        </w:tc>
        <w:tc>
          <w:tcPr>
            <w:tcW w:w="1593" w:type="dxa"/>
            <w:tcBorders>
              <w:top w:val="nil"/>
              <w:left w:val="nil"/>
              <w:bottom w:val="single" w:color="auto" w:sz="8" w:space="0"/>
              <w:right w:val="single" w:color="auto" w:sz="8" w:space="0"/>
            </w:tcBorders>
          </w:tcPr>
          <w:p w14:paraId="20267018">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80</w:t>
            </w:r>
          </w:p>
        </w:tc>
      </w:tr>
      <w:tr w14:paraId="0FF2DD46">
        <w:tblPrEx>
          <w:tblCellMar>
            <w:top w:w="0" w:type="dxa"/>
            <w:left w:w="0" w:type="dxa"/>
            <w:bottom w:w="0" w:type="dxa"/>
            <w:right w:w="0" w:type="dxa"/>
          </w:tblCellMar>
        </w:tblPrEx>
        <w:trPr>
          <w:trHeight w:val="421" w:hRule="atLeast"/>
          <w:jc w:val="center"/>
        </w:trPr>
        <w:tc>
          <w:tcPr>
            <w:tcW w:w="219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E98FBA">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省部级</w:t>
            </w:r>
          </w:p>
        </w:tc>
        <w:tc>
          <w:tcPr>
            <w:tcW w:w="1358" w:type="dxa"/>
            <w:tcBorders>
              <w:top w:val="nil"/>
              <w:left w:val="nil"/>
              <w:bottom w:val="single" w:color="auto" w:sz="8" w:space="0"/>
              <w:right w:val="single" w:color="auto" w:sz="8" w:space="0"/>
            </w:tcBorders>
            <w:tcMar>
              <w:top w:w="0" w:type="dxa"/>
              <w:left w:w="108" w:type="dxa"/>
              <w:bottom w:w="0" w:type="dxa"/>
              <w:right w:w="108" w:type="dxa"/>
            </w:tcMar>
            <w:vAlign w:val="center"/>
          </w:tcPr>
          <w:p w14:paraId="3FB19F4F">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100</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center"/>
          </w:tcPr>
          <w:p w14:paraId="42F5CE54">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70</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center"/>
          </w:tcPr>
          <w:p w14:paraId="7412D6B6">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40</w:t>
            </w:r>
          </w:p>
        </w:tc>
        <w:tc>
          <w:tcPr>
            <w:tcW w:w="1593" w:type="dxa"/>
            <w:tcBorders>
              <w:top w:val="nil"/>
              <w:left w:val="nil"/>
              <w:bottom w:val="single" w:color="auto" w:sz="8" w:space="0"/>
              <w:right w:val="single" w:color="auto" w:sz="8" w:space="0"/>
            </w:tcBorders>
          </w:tcPr>
          <w:p w14:paraId="045E1ACE">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20</w:t>
            </w:r>
          </w:p>
        </w:tc>
      </w:tr>
      <w:tr w14:paraId="576D71AA">
        <w:tblPrEx>
          <w:tblCellMar>
            <w:top w:w="0" w:type="dxa"/>
            <w:left w:w="0" w:type="dxa"/>
            <w:bottom w:w="0" w:type="dxa"/>
            <w:right w:w="0" w:type="dxa"/>
          </w:tblCellMar>
        </w:tblPrEx>
        <w:trPr>
          <w:trHeight w:val="472" w:hRule="atLeast"/>
          <w:jc w:val="center"/>
        </w:trPr>
        <w:tc>
          <w:tcPr>
            <w:tcW w:w="219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CF72B7">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市厅级</w:t>
            </w:r>
          </w:p>
        </w:tc>
        <w:tc>
          <w:tcPr>
            <w:tcW w:w="1358" w:type="dxa"/>
            <w:tcBorders>
              <w:top w:val="nil"/>
              <w:left w:val="nil"/>
              <w:bottom w:val="single" w:color="auto" w:sz="8" w:space="0"/>
              <w:right w:val="single" w:color="auto" w:sz="8" w:space="0"/>
            </w:tcBorders>
            <w:tcMar>
              <w:top w:w="0" w:type="dxa"/>
              <w:left w:w="108" w:type="dxa"/>
              <w:bottom w:w="0" w:type="dxa"/>
              <w:right w:w="108" w:type="dxa"/>
            </w:tcMar>
            <w:vAlign w:val="center"/>
          </w:tcPr>
          <w:p w14:paraId="6DC9F7F6">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30</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center"/>
          </w:tcPr>
          <w:p w14:paraId="2BD7397A">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20</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center"/>
          </w:tcPr>
          <w:p w14:paraId="5708C9BE">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10</w:t>
            </w:r>
          </w:p>
        </w:tc>
        <w:tc>
          <w:tcPr>
            <w:tcW w:w="1593" w:type="dxa"/>
            <w:tcBorders>
              <w:top w:val="nil"/>
              <w:left w:val="nil"/>
              <w:bottom w:val="single" w:color="auto" w:sz="8" w:space="0"/>
              <w:right w:val="single" w:color="auto" w:sz="8" w:space="0"/>
            </w:tcBorders>
          </w:tcPr>
          <w:p w14:paraId="06EF171C">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5</w:t>
            </w:r>
          </w:p>
        </w:tc>
      </w:tr>
      <w:tr w14:paraId="2B5D85B4">
        <w:tblPrEx>
          <w:tblCellMar>
            <w:top w:w="0" w:type="dxa"/>
            <w:left w:w="0" w:type="dxa"/>
            <w:bottom w:w="0" w:type="dxa"/>
            <w:right w:w="0" w:type="dxa"/>
          </w:tblCellMar>
        </w:tblPrEx>
        <w:trPr>
          <w:trHeight w:val="472" w:hRule="atLeast"/>
          <w:jc w:val="center"/>
        </w:trPr>
        <w:tc>
          <w:tcPr>
            <w:tcW w:w="219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A1D7F92">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校级</w:t>
            </w:r>
          </w:p>
        </w:tc>
        <w:tc>
          <w:tcPr>
            <w:tcW w:w="1358" w:type="dxa"/>
            <w:tcBorders>
              <w:top w:val="nil"/>
              <w:left w:val="nil"/>
              <w:bottom w:val="single" w:color="auto" w:sz="8" w:space="0"/>
              <w:right w:val="single" w:color="auto" w:sz="8" w:space="0"/>
            </w:tcBorders>
            <w:tcMar>
              <w:top w:w="0" w:type="dxa"/>
              <w:left w:w="108" w:type="dxa"/>
              <w:bottom w:w="0" w:type="dxa"/>
              <w:right w:w="108" w:type="dxa"/>
            </w:tcMar>
            <w:vAlign w:val="center"/>
          </w:tcPr>
          <w:p w14:paraId="76096B93">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20</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center"/>
          </w:tcPr>
          <w:p w14:paraId="25689707">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10</w:t>
            </w:r>
          </w:p>
        </w:tc>
        <w:tc>
          <w:tcPr>
            <w:tcW w:w="1359" w:type="dxa"/>
            <w:tcBorders>
              <w:top w:val="nil"/>
              <w:left w:val="nil"/>
              <w:bottom w:val="single" w:color="auto" w:sz="8" w:space="0"/>
              <w:right w:val="single" w:color="auto" w:sz="8" w:space="0"/>
            </w:tcBorders>
            <w:tcMar>
              <w:top w:w="0" w:type="dxa"/>
              <w:left w:w="108" w:type="dxa"/>
              <w:bottom w:w="0" w:type="dxa"/>
              <w:right w:w="108" w:type="dxa"/>
            </w:tcMar>
            <w:vAlign w:val="center"/>
          </w:tcPr>
          <w:p w14:paraId="093281BD">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6</w:t>
            </w:r>
          </w:p>
        </w:tc>
        <w:tc>
          <w:tcPr>
            <w:tcW w:w="1593" w:type="dxa"/>
            <w:tcBorders>
              <w:top w:val="nil"/>
              <w:left w:val="nil"/>
              <w:bottom w:val="single" w:color="auto" w:sz="8" w:space="0"/>
              <w:right w:val="single" w:color="auto" w:sz="8" w:space="0"/>
            </w:tcBorders>
          </w:tcPr>
          <w:p w14:paraId="004D50E7">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4</w:t>
            </w:r>
          </w:p>
        </w:tc>
      </w:tr>
    </w:tbl>
    <w:p w14:paraId="59DFB7F7">
      <w:pPr>
        <w:spacing w:line="500" w:lineRule="atLeast"/>
        <w:jc w:val="center"/>
        <w:rPr>
          <w:rFonts w:ascii="仿宋_GB2312" w:hAnsi="仿宋" w:eastAsia="仿宋_GB2312" w:cs="仿宋"/>
          <w:b/>
          <w:sz w:val="28"/>
          <w:szCs w:val="32"/>
          <w:highlight w:val="none"/>
        </w:rPr>
      </w:pPr>
    </w:p>
    <w:p w14:paraId="401FE031">
      <w:pPr>
        <w:spacing w:line="500" w:lineRule="atLeast"/>
        <w:jc w:val="center"/>
        <w:rPr>
          <w:rFonts w:ascii="仿宋_GB2312" w:hAnsi="仿宋" w:eastAsia="仿宋_GB2312" w:cs="仿宋"/>
          <w:b/>
          <w:sz w:val="28"/>
          <w:szCs w:val="32"/>
          <w:highlight w:val="none"/>
        </w:rPr>
      </w:pPr>
      <w:r>
        <w:rPr>
          <w:rFonts w:hint="eastAsia" w:ascii="仿宋_GB2312" w:hAnsi="仿宋" w:eastAsia="仿宋_GB2312" w:cs="仿宋"/>
          <w:b/>
          <w:sz w:val="28"/>
          <w:szCs w:val="32"/>
          <w:highlight w:val="none"/>
        </w:rPr>
        <w:t>学术论文（</w:t>
      </w:r>
      <w:r>
        <w:rPr>
          <w:rFonts w:ascii="仿宋_GB2312" w:hAnsi="仿宋" w:eastAsia="仿宋_GB2312" w:cs="仿宋"/>
          <w:b/>
          <w:sz w:val="28"/>
          <w:szCs w:val="32"/>
          <w:highlight w:val="none"/>
        </w:rPr>
        <w:t>专著）</w:t>
      </w:r>
      <w:r>
        <w:rPr>
          <w:rFonts w:hint="eastAsia" w:ascii="仿宋_GB2312" w:hAnsi="仿宋" w:eastAsia="仿宋_GB2312" w:cs="仿宋"/>
          <w:b/>
          <w:sz w:val="28"/>
          <w:szCs w:val="32"/>
          <w:highlight w:val="none"/>
        </w:rPr>
        <w:t>的计分标准（单位：分/篇）</w:t>
      </w:r>
    </w:p>
    <w:tbl>
      <w:tblPr>
        <w:tblStyle w:val="6"/>
        <w:tblW w:w="45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8"/>
        <w:gridCol w:w="1687"/>
      </w:tblGrid>
      <w:tr w14:paraId="0A1D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0" w:type="pct"/>
            <w:tcBorders>
              <w:top w:val="single" w:color="auto" w:sz="4" w:space="0"/>
              <w:left w:val="single" w:color="auto" w:sz="4" w:space="0"/>
              <w:bottom w:val="single" w:color="auto" w:sz="4" w:space="0"/>
              <w:right w:val="single" w:color="auto" w:sz="4" w:space="0"/>
            </w:tcBorders>
            <w:vAlign w:val="center"/>
          </w:tcPr>
          <w:p w14:paraId="1A3F67E4">
            <w:pPr>
              <w:spacing w:line="500" w:lineRule="atLeast"/>
              <w:jc w:val="left"/>
              <w:rPr>
                <w:rFonts w:ascii="仿宋" w:hAnsi="仿宋" w:eastAsia="仿宋"/>
                <w:sz w:val="28"/>
                <w:szCs w:val="28"/>
                <w:highlight w:val="none"/>
              </w:rPr>
            </w:pPr>
            <w:r>
              <w:rPr>
                <w:rFonts w:hint="eastAsia" w:ascii="仿宋" w:hAnsi="仿宋" w:eastAsia="仿宋"/>
                <w:sz w:val="28"/>
                <w:szCs w:val="28"/>
                <w:highlight w:val="none"/>
              </w:rPr>
              <w:t>发表论文或被收录刊物级别</w:t>
            </w:r>
          </w:p>
        </w:tc>
        <w:tc>
          <w:tcPr>
            <w:tcW w:w="1089" w:type="pct"/>
            <w:tcBorders>
              <w:top w:val="single" w:color="auto" w:sz="4" w:space="0"/>
              <w:left w:val="single" w:color="auto" w:sz="4" w:space="0"/>
              <w:bottom w:val="single" w:color="auto" w:sz="4" w:space="0"/>
              <w:right w:val="single" w:color="auto" w:sz="4" w:space="0"/>
            </w:tcBorders>
            <w:vAlign w:val="center"/>
          </w:tcPr>
          <w:p w14:paraId="00ECF14B">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分值</w:t>
            </w:r>
          </w:p>
        </w:tc>
      </w:tr>
      <w:tr w14:paraId="680F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0" w:type="pct"/>
            <w:tcBorders>
              <w:top w:val="single" w:color="auto" w:sz="4" w:space="0"/>
              <w:left w:val="single" w:color="auto" w:sz="4" w:space="0"/>
              <w:bottom w:val="single" w:color="auto" w:sz="4" w:space="0"/>
              <w:right w:val="single" w:color="auto" w:sz="4" w:space="0"/>
            </w:tcBorders>
            <w:vAlign w:val="center"/>
          </w:tcPr>
          <w:p w14:paraId="2B0C6F60">
            <w:pPr>
              <w:spacing w:line="500" w:lineRule="atLeast"/>
              <w:jc w:val="left"/>
              <w:rPr>
                <w:rFonts w:ascii="仿宋" w:hAnsi="仿宋" w:eastAsia="仿宋"/>
                <w:sz w:val="28"/>
                <w:szCs w:val="28"/>
                <w:highlight w:val="none"/>
              </w:rPr>
            </w:pPr>
            <w:r>
              <w:rPr>
                <w:rFonts w:hint="eastAsia" w:ascii="仿宋" w:hAnsi="仿宋" w:eastAsia="仿宋"/>
                <w:sz w:val="28"/>
                <w:szCs w:val="28"/>
                <w:highlight w:val="none"/>
              </w:rPr>
              <w:t>贵州大学国内一级学术期刊目录所含期刊、SSCI二区以上来源期刊</w:t>
            </w:r>
          </w:p>
        </w:tc>
        <w:tc>
          <w:tcPr>
            <w:tcW w:w="1089" w:type="pct"/>
            <w:tcBorders>
              <w:top w:val="single" w:color="auto" w:sz="4" w:space="0"/>
              <w:left w:val="single" w:color="auto" w:sz="4" w:space="0"/>
              <w:bottom w:val="single" w:color="auto" w:sz="4" w:space="0"/>
              <w:right w:val="single" w:color="auto" w:sz="4" w:space="0"/>
            </w:tcBorders>
            <w:vAlign w:val="center"/>
          </w:tcPr>
          <w:p w14:paraId="72F92D40">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250</w:t>
            </w:r>
          </w:p>
        </w:tc>
      </w:tr>
      <w:tr w14:paraId="06C7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0" w:type="pct"/>
            <w:tcBorders>
              <w:top w:val="single" w:color="auto" w:sz="4" w:space="0"/>
              <w:left w:val="single" w:color="auto" w:sz="4" w:space="0"/>
              <w:bottom w:val="single" w:color="auto" w:sz="4" w:space="0"/>
              <w:right w:val="single" w:color="auto" w:sz="4" w:space="0"/>
            </w:tcBorders>
            <w:vAlign w:val="center"/>
          </w:tcPr>
          <w:p w14:paraId="74502930">
            <w:pPr>
              <w:spacing w:line="500" w:lineRule="atLeast"/>
              <w:jc w:val="left"/>
              <w:rPr>
                <w:rFonts w:ascii="仿宋" w:hAnsi="仿宋" w:eastAsia="仿宋"/>
                <w:sz w:val="28"/>
                <w:szCs w:val="28"/>
                <w:highlight w:val="none"/>
              </w:rPr>
            </w:pPr>
            <w:r>
              <w:rPr>
                <w:rFonts w:hint="eastAsia" w:ascii="仿宋" w:hAnsi="仿宋" w:eastAsia="仿宋"/>
                <w:sz w:val="28"/>
                <w:szCs w:val="28"/>
                <w:highlight w:val="none"/>
              </w:rPr>
              <w:t>获国家级领导肯定性批示的政策咨询报告、内参等（排名前5）</w:t>
            </w:r>
          </w:p>
        </w:tc>
        <w:tc>
          <w:tcPr>
            <w:tcW w:w="1089" w:type="pct"/>
            <w:tcBorders>
              <w:top w:val="single" w:color="auto" w:sz="4" w:space="0"/>
              <w:left w:val="single" w:color="auto" w:sz="4" w:space="0"/>
              <w:bottom w:val="single" w:color="auto" w:sz="4" w:space="0"/>
              <w:right w:val="single" w:color="auto" w:sz="4" w:space="0"/>
            </w:tcBorders>
            <w:vAlign w:val="center"/>
          </w:tcPr>
          <w:p w14:paraId="01F04AED">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250</w:t>
            </w:r>
          </w:p>
        </w:tc>
      </w:tr>
      <w:tr w14:paraId="4BA6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0" w:type="pct"/>
            <w:tcBorders>
              <w:top w:val="single" w:color="auto" w:sz="4" w:space="0"/>
              <w:left w:val="single" w:color="auto" w:sz="4" w:space="0"/>
              <w:bottom w:val="single" w:color="auto" w:sz="4" w:space="0"/>
              <w:right w:val="single" w:color="auto" w:sz="4" w:space="0"/>
            </w:tcBorders>
            <w:vAlign w:val="center"/>
          </w:tcPr>
          <w:p w14:paraId="604FE306">
            <w:pPr>
              <w:spacing w:line="500" w:lineRule="atLeast"/>
              <w:jc w:val="left"/>
              <w:rPr>
                <w:rFonts w:ascii="仿宋" w:hAnsi="仿宋" w:eastAsia="仿宋"/>
                <w:sz w:val="28"/>
                <w:szCs w:val="28"/>
                <w:highlight w:val="none"/>
              </w:rPr>
            </w:pPr>
            <w:r>
              <w:rPr>
                <w:rFonts w:hint="eastAsia" w:ascii="仿宋" w:hAnsi="仿宋" w:eastAsia="仿宋"/>
                <w:sz w:val="28"/>
                <w:szCs w:val="28"/>
                <w:highlight w:val="none"/>
              </w:rPr>
              <w:t>CSSCI来源期刊、SSCI三区/四区来源期刊</w:t>
            </w:r>
          </w:p>
        </w:tc>
        <w:tc>
          <w:tcPr>
            <w:tcW w:w="1089" w:type="pct"/>
            <w:tcBorders>
              <w:top w:val="single" w:color="auto" w:sz="4" w:space="0"/>
              <w:left w:val="single" w:color="auto" w:sz="4" w:space="0"/>
              <w:bottom w:val="single" w:color="auto" w:sz="4" w:space="0"/>
              <w:right w:val="single" w:color="auto" w:sz="4" w:space="0"/>
            </w:tcBorders>
            <w:vAlign w:val="center"/>
          </w:tcPr>
          <w:p w14:paraId="307EF1B1">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200</w:t>
            </w:r>
          </w:p>
        </w:tc>
      </w:tr>
      <w:tr w14:paraId="2D3B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0" w:type="pct"/>
            <w:tcBorders>
              <w:top w:val="single" w:color="auto" w:sz="4" w:space="0"/>
              <w:left w:val="single" w:color="auto" w:sz="4" w:space="0"/>
              <w:bottom w:val="single" w:color="auto" w:sz="4" w:space="0"/>
              <w:right w:val="single" w:color="auto" w:sz="4" w:space="0"/>
            </w:tcBorders>
            <w:vAlign w:val="center"/>
          </w:tcPr>
          <w:p w14:paraId="63CCFCC6">
            <w:pPr>
              <w:spacing w:line="500" w:lineRule="atLeast"/>
              <w:jc w:val="left"/>
              <w:rPr>
                <w:rFonts w:hint="eastAsia" w:ascii="仿宋" w:hAnsi="仿宋" w:eastAsia="仿宋"/>
                <w:sz w:val="28"/>
                <w:szCs w:val="28"/>
                <w:highlight w:val="none"/>
              </w:rPr>
            </w:pPr>
            <w:r>
              <w:rPr>
                <w:rFonts w:hint="eastAsia" w:ascii="仿宋" w:hAnsi="仿宋" w:eastAsia="仿宋"/>
                <w:sz w:val="28"/>
                <w:szCs w:val="28"/>
                <w:highlight w:val="none"/>
              </w:rPr>
              <w:t>获省部级主要领导肯定性批示的政策咨询报告、内参等（排名前5）</w:t>
            </w:r>
          </w:p>
        </w:tc>
        <w:tc>
          <w:tcPr>
            <w:tcW w:w="1089" w:type="pct"/>
            <w:tcBorders>
              <w:top w:val="single" w:color="auto" w:sz="4" w:space="0"/>
              <w:left w:val="single" w:color="auto" w:sz="4" w:space="0"/>
              <w:bottom w:val="single" w:color="auto" w:sz="4" w:space="0"/>
              <w:right w:val="single" w:color="auto" w:sz="4" w:space="0"/>
            </w:tcBorders>
            <w:vAlign w:val="center"/>
          </w:tcPr>
          <w:p w14:paraId="6A9F13AA">
            <w:pPr>
              <w:spacing w:line="50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200</w:t>
            </w:r>
          </w:p>
        </w:tc>
      </w:tr>
      <w:tr w14:paraId="4F00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0" w:type="pct"/>
            <w:tcBorders>
              <w:top w:val="single" w:color="auto" w:sz="4" w:space="0"/>
              <w:left w:val="single" w:color="auto" w:sz="4" w:space="0"/>
              <w:bottom w:val="single" w:color="auto" w:sz="4" w:space="0"/>
              <w:right w:val="single" w:color="auto" w:sz="4" w:space="0"/>
            </w:tcBorders>
            <w:vAlign w:val="center"/>
          </w:tcPr>
          <w:p w14:paraId="74C7B89B">
            <w:pPr>
              <w:spacing w:line="500" w:lineRule="atLeast"/>
              <w:jc w:val="left"/>
              <w:rPr>
                <w:rFonts w:hint="eastAsia" w:ascii="仿宋" w:hAnsi="仿宋" w:eastAsia="仿宋"/>
                <w:sz w:val="28"/>
                <w:szCs w:val="28"/>
                <w:highlight w:val="none"/>
              </w:rPr>
            </w:pPr>
            <w:r>
              <w:rPr>
                <w:rFonts w:hint="eastAsia" w:ascii="仿宋" w:hAnsi="仿宋" w:eastAsia="仿宋"/>
                <w:sz w:val="28"/>
                <w:szCs w:val="28"/>
                <w:highlight w:val="none"/>
              </w:rPr>
              <w:t>独著与本专业相关的由正规出版社出版的研究型专著</w:t>
            </w:r>
          </w:p>
        </w:tc>
        <w:tc>
          <w:tcPr>
            <w:tcW w:w="1089" w:type="pct"/>
            <w:tcBorders>
              <w:top w:val="single" w:color="auto" w:sz="4" w:space="0"/>
              <w:left w:val="single" w:color="auto" w:sz="4" w:space="0"/>
              <w:bottom w:val="single" w:color="auto" w:sz="4" w:space="0"/>
              <w:right w:val="single" w:color="auto" w:sz="4" w:space="0"/>
            </w:tcBorders>
            <w:vAlign w:val="center"/>
          </w:tcPr>
          <w:p w14:paraId="0E7B213A">
            <w:pPr>
              <w:spacing w:line="500" w:lineRule="atLeast"/>
              <w:jc w:val="center"/>
              <w:rPr>
                <w:rFonts w:hint="eastAsia" w:ascii="仿宋" w:hAnsi="仿宋" w:eastAsia="仿宋"/>
                <w:sz w:val="28"/>
                <w:szCs w:val="28"/>
                <w:highlight w:val="none"/>
              </w:rPr>
            </w:pPr>
            <w:r>
              <w:rPr>
                <w:rFonts w:hint="eastAsia" w:ascii="仿宋" w:hAnsi="仿宋" w:eastAsia="仿宋"/>
                <w:sz w:val="28"/>
                <w:szCs w:val="28"/>
                <w:highlight w:val="none"/>
              </w:rPr>
              <w:t>200</w:t>
            </w:r>
          </w:p>
        </w:tc>
      </w:tr>
      <w:tr w14:paraId="53A9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0" w:type="pct"/>
            <w:tcBorders>
              <w:top w:val="single" w:color="auto" w:sz="4" w:space="0"/>
              <w:left w:val="single" w:color="auto" w:sz="4" w:space="0"/>
              <w:bottom w:val="single" w:color="auto" w:sz="4" w:space="0"/>
              <w:right w:val="single" w:color="auto" w:sz="4" w:space="0"/>
            </w:tcBorders>
            <w:vAlign w:val="center"/>
          </w:tcPr>
          <w:p w14:paraId="17FC23A0">
            <w:pPr>
              <w:spacing w:line="500" w:lineRule="atLeast"/>
              <w:jc w:val="left"/>
              <w:rPr>
                <w:rFonts w:ascii="仿宋" w:hAnsi="仿宋" w:eastAsia="仿宋"/>
                <w:sz w:val="28"/>
                <w:szCs w:val="28"/>
                <w:highlight w:val="none"/>
              </w:rPr>
            </w:pPr>
            <w:r>
              <w:rPr>
                <w:rFonts w:hint="eastAsia" w:ascii="仿宋" w:hAnsi="仿宋" w:eastAsia="仿宋"/>
                <w:sz w:val="28"/>
                <w:szCs w:val="28"/>
                <w:highlight w:val="none"/>
              </w:rPr>
              <w:t>CSSCI扩展版期刊</w:t>
            </w:r>
          </w:p>
        </w:tc>
        <w:tc>
          <w:tcPr>
            <w:tcW w:w="1089" w:type="pct"/>
            <w:tcBorders>
              <w:top w:val="single" w:color="auto" w:sz="4" w:space="0"/>
              <w:left w:val="single" w:color="auto" w:sz="4" w:space="0"/>
              <w:bottom w:val="single" w:color="auto" w:sz="4" w:space="0"/>
              <w:right w:val="single" w:color="auto" w:sz="4" w:space="0"/>
            </w:tcBorders>
            <w:vAlign w:val="center"/>
          </w:tcPr>
          <w:p w14:paraId="2BF97678">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150</w:t>
            </w:r>
          </w:p>
        </w:tc>
      </w:tr>
      <w:tr w14:paraId="723A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0" w:type="pct"/>
            <w:tcBorders>
              <w:top w:val="single" w:color="auto" w:sz="4" w:space="0"/>
              <w:left w:val="single" w:color="auto" w:sz="4" w:space="0"/>
              <w:bottom w:val="single" w:color="auto" w:sz="4" w:space="0"/>
              <w:right w:val="single" w:color="auto" w:sz="4" w:space="0"/>
            </w:tcBorders>
            <w:vAlign w:val="center"/>
          </w:tcPr>
          <w:p w14:paraId="01F69EA1">
            <w:pPr>
              <w:spacing w:line="500" w:lineRule="atLeast"/>
              <w:jc w:val="left"/>
              <w:rPr>
                <w:rFonts w:ascii="仿宋" w:hAnsi="仿宋" w:eastAsia="仿宋"/>
                <w:sz w:val="28"/>
                <w:szCs w:val="28"/>
                <w:highlight w:val="none"/>
              </w:rPr>
            </w:pPr>
            <w:r>
              <w:rPr>
                <w:rFonts w:hint="eastAsia" w:ascii="仿宋" w:hAnsi="仿宋" w:eastAsia="仿宋"/>
                <w:sz w:val="28"/>
                <w:szCs w:val="28"/>
                <w:highlight w:val="none"/>
              </w:rPr>
              <w:t>北大中文核心期刊</w:t>
            </w:r>
          </w:p>
        </w:tc>
        <w:tc>
          <w:tcPr>
            <w:tcW w:w="1089" w:type="pct"/>
            <w:tcBorders>
              <w:top w:val="single" w:color="auto" w:sz="4" w:space="0"/>
              <w:left w:val="single" w:color="auto" w:sz="4" w:space="0"/>
              <w:bottom w:val="single" w:color="auto" w:sz="4" w:space="0"/>
              <w:right w:val="single" w:color="auto" w:sz="4" w:space="0"/>
            </w:tcBorders>
            <w:vAlign w:val="center"/>
          </w:tcPr>
          <w:p w14:paraId="49DCD817">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100</w:t>
            </w:r>
          </w:p>
        </w:tc>
      </w:tr>
      <w:tr w14:paraId="3C84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0" w:type="pct"/>
            <w:tcBorders>
              <w:top w:val="single" w:color="auto" w:sz="4" w:space="0"/>
              <w:left w:val="single" w:color="auto" w:sz="4" w:space="0"/>
              <w:bottom w:val="single" w:color="auto" w:sz="4" w:space="0"/>
              <w:right w:val="single" w:color="auto" w:sz="4" w:space="0"/>
            </w:tcBorders>
            <w:vAlign w:val="center"/>
          </w:tcPr>
          <w:p w14:paraId="094A056F">
            <w:pPr>
              <w:spacing w:line="500" w:lineRule="atLeast"/>
              <w:jc w:val="left"/>
              <w:rPr>
                <w:rFonts w:ascii="仿宋" w:hAnsi="仿宋" w:eastAsia="仿宋"/>
                <w:sz w:val="28"/>
                <w:szCs w:val="28"/>
                <w:highlight w:val="none"/>
              </w:rPr>
            </w:pPr>
            <w:r>
              <w:rPr>
                <w:rFonts w:hint="eastAsia" w:ascii="仿宋" w:hAnsi="仿宋" w:eastAsia="仿宋"/>
                <w:sz w:val="28"/>
                <w:szCs w:val="28"/>
                <w:highlight w:val="none"/>
              </w:rPr>
              <w:t>获省部级其他领导肯定性批示的政策咨询报告（排名前5）</w:t>
            </w:r>
          </w:p>
        </w:tc>
        <w:tc>
          <w:tcPr>
            <w:tcW w:w="1089" w:type="pct"/>
            <w:tcBorders>
              <w:top w:val="single" w:color="auto" w:sz="4" w:space="0"/>
              <w:left w:val="single" w:color="auto" w:sz="4" w:space="0"/>
              <w:bottom w:val="single" w:color="auto" w:sz="4" w:space="0"/>
              <w:right w:val="single" w:color="auto" w:sz="4" w:space="0"/>
            </w:tcBorders>
            <w:vAlign w:val="center"/>
          </w:tcPr>
          <w:p w14:paraId="61B24368">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100</w:t>
            </w:r>
          </w:p>
        </w:tc>
      </w:tr>
      <w:tr w14:paraId="56B2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0" w:type="pct"/>
            <w:tcBorders>
              <w:top w:val="single" w:color="auto" w:sz="4" w:space="0"/>
              <w:left w:val="single" w:color="auto" w:sz="4" w:space="0"/>
              <w:bottom w:val="single" w:color="auto" w:sz="4" w:space="0"/>
              <w:right w:val="single" w:color="auto" w:sz="4" w:space="0"/>
            </w:tcBorders>
            <w:vAlign w:val="center"/>
          </w:tcPr>
          <w:p w14:paraId="791C55F7">
            <w:pPr>
              <w:spacing w:line="500" w:lineRule="atLeast"/>
              <w:jc w:val="left"/>
              <w:rPr>
                <w:rFonts w:ascii="仿宋" w:hAnsi="仿宋" w:eastAsia="仿宋"/>
                <w:sz w:val="28"/>
                <w:szCs w:val="28"/>
                <w:highlight w:val="none"/>
              </w:rPr>
            </w:pPr>
            <w:r>
              <w:rPr>
                <w:rFonts w:hint="eastAsia" w:ascii="仿宋" w:hAnsi="仿宋" w:eastAsia="仿宋"/>
                <w:sz w:val="28"/>
                <w:szCs w:val="28"/>
                <w:highlight w:val="none"/>
              </w:rPr>
              <w:t>学报类学术期刊（3000字以上）</w:t>
            </w:r>
          </w:p>
        </w:tc>
        <w:tc>
          <w:tcPr>
            <w:tcW w:w="1089" w:type="pct"/>
            <w:tcBorders>
              <w:top w:val="single" w:color="auto" w:sz="4" w:space="0"/>
              <w:left w:val="single" w:color="auto" w:sz="4" w:space="0"/>
              <w:bottom w:val="single" w:color="auto" w:sz="4" w:space="0"/>
              <w:right w:val="single" w:color="auto" w:sz="4" w:space="0"/>
            </w:tcBorders>
            <w:vAlign w:val="center"/>
          </w:tcPr>
          <w:p w14:paraId="412F0BE8">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80</w:t>
            </w:r>
          </w:p>
        </w:tc>
      </w:tr>
      <w:tr w14:paraId="72CA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0" w:type="pct"/>
            <w:tcBorders>
              <w:top w:val="single" w:color="auto" w:sz="4" w:space="0"/>
              <w:left w:val="single" w:color="auto" w:sz="4" w:space="0"/>
              <w:bottom w:val="single" w:color="auto" w:sz="4" w:space="0"/>
              <w:right w:val="single" w:color="auto" w:sz="4" w:space="0"/>
            </w:tcBorders>
            <w:vAlign w:val="center"/>
          </w:tcPr>
          <w:p w14:paraId="4B0AF196">
            <w:pPr>
              <w:spacing w:line="500" w:lineRule="atLeast"/>
              <w:jc w:val="left"/>
              <w:rPr>
                <w:rFonts w:ascii="仿宋" w:hAnsi="仿宋" w:eastAsia="仿宋"/>
                <w:sz w:val="28"/>
                <w:szCs w:val="28"/>
                <w:highlight w:val="none"/>
              </w:rPr>
            </w:pPr>
            <w:r>
              <w:rPr>
                <w:rFonts w:hint="eastAsia" w:ascii="仿宋" w:hAnsi="仿宋" w:eastAsia="仿宋"/>
                <w:sz w:val="28"/>
                <w:szCs w:val="28"/>
                <w:highlight w:val="none"/>
              </w:rPr>
              <w:t>参编与本专业相关的由正规出版社出版的研究型专著或教材</w:t>
            </w:r>
          </w:p>
        </w:tc>
        <w:tc>
          <w:tcPr>
            <w:tcW w:w="1089" w:type="pct"/>
            <w:tcBorders>
              <w:top w:val="single" w:color="auto" w:sz="4" w:space="0"/>
              <w:left w:val="single" w:color="auto" w:sz="4" w:space="0"/>
              <w:bottom w:val="single" w:color="auto" w:sz="4" w:space="0"/>
              <w:right w:val="single" w:color="auto" w:sz="4" w:space="0"/>
            </w:tcBorders>
            <w:vAlign w:val="center"/>
          </w:tcPr>
          <w:p w14:paraId="3B4F2079">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50</w:t>
            </w:r>
          </w:p>
        </w:tc>
      </w:tr>
      <w:tr w14:paraId="074C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0" w:type="pct"/>
            <w:tcBorders>
              <w:top w:val="single" w:color="auto" w:sz="4" w:space="0"/>
              <w:left w:val="single" w:color="auto" w:sz="4" w:space="0"/>
              <w:bottom w:val="single" w:color="auto" w:sz="4" w:space="0"/>
              <w:right w:val="single" w:color="auto" w:sz="4" w:space="0"/>
            </w:tcBorders>
            <w:vAlign w:val="center"/>
          </w:tcPr>
          <w:p w14:paraId="44E1FCE8">
            <w:pPr>
              <w:spacing w:line="500" w:lineRule="atLeast"/>
              <w:jc w:val="left"/>
              <w:rPr>
                <w:rFonts w:ascii="仿宋" w:hAnsi="仿宋" w:eastAsia="仿宋"/>
                <w:sz w:val="28"/>
                <w:szCs w:val="28"/>
                <w:highlight w:val="none"/>
              </w:rPr>
            </w:pPr>
            <w:r>
              <w:rPr>
                <w:rFonts w:hint="eastAsia" w:ascii="仿宋" w:hAnsi="仿宋" w:eastAsia="仿宋"/>
                <w:sz w:val="28"/>
                <w:szCs w:val="28"/>
                <w:highlight w:val="none"/>
              </w:rPr>
              <w:t>不属于中文核心和</w:t>
            </w:r>
            <w:r>
              <w:rPr>
                <w:rFonts w:ascii="仿宋" w:hAnsi="仿宋" w:eastAsia="仿宋"/>
                <w:sz w:val="28"/>
                <w:szCs w:val="28"/>
                <w:highlight w:val="none"/>
              </w:rPr>
              <w:t>CSSCI</w:t>
            </w:r>
            <w:r>
              <w:rPr>
                <w:rFonts w:hint="eastAsia" w:ascii="仿宋" w:hAnsi="仿宋" w:eastAsia="仿宋"/>
                <w:sz w:val="28"/>
                <w:szCs w:val="28"/>
                <w:highlight w:val="none"/>
              </w:rPr>
              <w:t>的SCD收录期刊</w:t>
            </w:r>
          </w:p>
        </w:tc>
        <w:tc>
          <w:tcPr>
            <w:tcW w:w="1089" w:type="pct"/>
            <w:tcBorders>
              <w:top w:val="single" w:color="auto" w:sz="4" w:space="0"/>
              <w:left w:val="single" w:color="auto" w:sz="4" w:space="0"/>
              <w:bottom w:val="single" w:color="auto" w:sz="4" w:space="0"/>
              <w:right w:val="single" w:color="auto" w:sz="4" w:space="0"/>
            </w:tcBorders>
            <w:vAlign w:val="center"/>
          </w:tcPr>
          <w:p w14:paraId="556DE8C8">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30</w:t>
            </w:r>
          </w:p>
        </w:tc>
      </w:tr>
      <w:tr w14:paraId="143B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0" w:type="pct"/>
            <w:tcBorders>
              <w:top w:val="single" w:color="auto" w:sz="4" w:space="0"/>
              <w:left w:val="single" w:color="auto" w:sz="4" w:space="0"/>
              <w:bottom w:val="single" w:color="auto" w:sz="4" w:space="0"/>
              <w:right w:val="single" w:color="auto" w:sz="4" w:space="0"/>
            </w:tcBorders>
            <w:vAlign w:val="center"/>
          </w:tcPr>
          <w:p w14:paraId="4B58EF1A">
            <w:pPr>
              <w:spacing w:line="500" w:lineRule="atLeast"/>
              <w:jc w:val="left"/>
              <w:rPr>
                <w:rFonts w:ascii="仿宋" w:hAnsi="仿宋" w:eastAsia="仿宋"/>
                <w:sz w:val="28"/>
                <w:szCs w:val="28"/>
                <w:highlight w:val="none"/>
              </w:rPr>
            </w:pPr>
            <w:r>
              <w:rPr>
                <w:rFonts w:hint="eastAsia" w:ascii="仿宋" w:hAnsi="仿宋" w:eastAsia="仿宋"/>
                <w:sz w:val="28"/>
                <w:szCs w:val="28"/>
                <w:highlight w:val="none"/>
              </w:rPr>
              <w:t>其他省级以上一般学术类期刊（3000字以上）或正式出版省级以上学会论文集论文（4000字以上）</w:t>
            </w:r>
          </w:p>
        </w:tc>
        <w:tc>
          <w:tcPr>
            <w:tcW w:w="1089" w:type="pct"/>
            <w:tcBorders>
              <w:top w:val="single" w:color="auto" w:sz="4" w:space="0"/>
              <w:left w:val="single" w:color="auto" w:sz="4" w:space="0"/>
              <w:bottom w:val="single" w:color="auto" w:sz="4" w:space="0"/>
              <w:right w:val="single" w:color="auto" w:sz="4" w:space="0"/>
            </w:tcBorders>
            <w:vAlign w:val="center"/>
          </w:tcPr>
          <w:p w14:paraId="4211B031">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20</w:t>
            </w:r>
          </w:p>
        </w:tc>
      </w:tr>
      <w:tr w14:paraId="7F2F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0" w:type="pct"/>
            <w:tcBorders>
              <w:top w:val="single" w:color="auto" w:sz="4" w:space="0"/>
              <w:left w:val="single" w:color="auto" w:sz="4" w:space="0"/>
              <w:bottom w:val="single" w:color="auto" w:sz="4" w:space="0"/>
              <w:right w:val="single" w:color="auto" w:sz="4" w:space="0"/>
            </w:tcBorders>
            <w:vAlign w:val="center"/>
          </w:tcPr>
          <w:p w14:paraId="227F86BE">
            <w:pPr>
              <w:spacing w:line="500" w:lineRule="atLeast"/>
              <w:jc w:val="left"/>
              <w:rPr>
                <w:rFonts w:ascii="仿宋" w:hAnsi="仿宋" w:eastAsia="仿宋"/>
                <w:sz w:val="28"/>
                <w:szCs w:val="28"/>
                <w:highlight w:val="none"/>
              </w:rPr>
            </w:pPr>
            <w:r>
              <w:rPr>
                <w:rFonts w:hint="eastAsia" w:ascii="仿宋" w:hAnsi="仿宋" w:eastAsia="仿宋"/>
                <w:sz w:val="28"/>
                <w:szCs w:val="28"/>
                <w:highlight w:val="none"/>
              </w:rPr>
              <w:t>贵州大学《硕博论坛》专刊、贵州大学高校青年思想论坛优秀论文集等贵州大学校级学生活动论文刊物</w:t>
            </w:r>
          </w:p>
        </w:tc>
        <w:tc>
          <w:tcPr>
            <w:tcW w:w="1089" w:type="pct"/>
            <w:tcBorders>
              <w:top w:val="single" w:color="auto" w:sz="4" w:space="0"/>
              <w:left w:val="single" w:color="auto" w:sz="4" w:space="0"/>
              <w:bottom w:val="single" w:color="auto" w:sz="4" w:space="0"/>
              <w:right w:val="single" w:color="auto" w:sz="4" w:space="0"/>
            </w:tcBorders>
            <w:vAlign w:val="center"/>
          </w:tcPr>
          <w:p w14:paraId="4B917A53">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15</w:t>
            </w:r>
          </w:p>
        </w:tc>
      </w:tr>
      <w:tr w14:paraId="1100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0" w:type="pct"/>
            <w:tcBorders>
              <w:top w:val="single" w:color="auto" w:sz="4" w:space="0"/>
              <w:left w:val="single" w:color="auto" w:sz="4" w:space="0"/>
              <w:bottom w:val="single" w:color="auto" w:sz="4" w:space="0"/>
              <w:right w:val="single" w:color="auto" w:sz="4" w:space="0"/>
            </w:tcBorders>
            <w:vAlign w:val="center"/>
          </w:tcPr>
          <w:p w14:paraId="1FAFAB92">
            <w:pPr>
              <w:spacing w:line="500" w:lineRule="atLeast"/>
              <w:jc w:val="left"/>
              <w:rPr>
                <w:rFonts w:ascii="仿宋" w:hAnsi="仿宋" w:eastAsia="仿宋"/>
                <w:sz w:val="28"/>
                <w:szCs w:val="28"/>
                <w:highlight w:val="none"/>
              </w:rPr>
            </w:pPr>
            <w:r>
              <w:rPr>
                <w:rFonts w:hint="eastAsia" w:ascii="仿宋" w:hAnsi="仿宋" w:eastAsia="仿宋"/>
                <w:sz w:val="28"/>
                <w:szCs w:val="28"/>
                <w:highlight w:val="none"/>
              </w:rPr>
              <w:t>一般非学术类期刊</w:t>
            </w:r>
          </w:p>
        </w:tc>
        <w:tc>
          <w:tcPr>
            <w:tcW w:w="1089" w:type="pct"/>
            <w:tcBorders>
              <w:top w:val="single" w:color="auto" w:sz="4" w:space="0"/>
              <w:left w:val="single" w:color="auto" w:sz="4" w:space="0"/>
              <w:bottom w:val="single" w:color="auto" w:sz="4" w:space="0"/>
              <w:right w:val="single" w:color="auto" w:sz="4" w:space="0"/>
            </w:tcBorders>
            <w:vAlign w:val="center"/>
          </w:tcPr>
          <w:p w14:paraId="6D1A47A5">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10</w:t>
            </w:r>
          </w:p>
        </w:tc>
      </w:tr>
    </w:tbl>
    <w:p w14:paraId="29844E79">
      <w:pPr>
        <w:spacing w:line="560" w:lineRule="exact"/>
        <w:ind w:firstLine="560" w:firstLineChars="200"/>
        <w:rPr>
          <w:rFonts w:hint="eastAsia" w:ascii="仿宋_GB2312" w:hAnsi="仿宋" w:eastAsia="仿宋_GB2312" w:cs="仿宋"/>
          <w:sz w:val="28"/>
          <w:szCs w:val="28"/>
          <w:highlight w:val="none"/>
          <w:lang w:val="en-US" w:eastAsia="zh-CN"/>
        </w:rPr>
      </w:pPr>
      <w:r>
        <w:rPr>
          <w:rFonts w:hint="eastAsia" w:ascii="仿宋_GB2312" w:hAnsi="仿宋" w:eastAsia="仿宋_GB2312" w:cs="仿宋"/>
          <w:sz w:val="28"/>
          <w:szCs w:val="28"/>
          <w:highlight w:val="none"/>
        </w:rPr>
        <w:t>注：1、发表学术论文或专著的第一署名单位必须为贵州大学公共管理学院，研究生必须是第一作者或贵州大学公共管理学院老师是第一作者情况下的第二作者，或者发表在学报类学术期刊及以上档次期刊证明研究生为通讯作者；2、报纸理论版发表的文章不限字数按学报类学术期刊计分；3、学报、SCD、其他一般学术类期刊、</w:t>
      </w:r>
      <w:r>
        <w:rPr>
          <w:rFonts w:hint="eastAsia" w:ascii="仿宋" w:hAnsi="仿宋" w:eastAsia="仿宋"/>
          <w:sz w:val="28"/>
          <w:szCs w:val="28"/>
          <w:highlight w:val="none"/>
        </w:rPr>
        <w:t>贵州大学校级学生活动论文刊物</w:t>
      </w:r>
      <w:r>
        <w:rPr>
          <w:rFonts w:hint="eastAsia" w:ascii="仿宋_GB2312" w:hAnsi="仿宋" w:eastAsia="仿宋_GB2312" w:cs="仿宋"/>
          <w:sz w:val="28"/>
          <w:szCs w:val="28"/>
          <w:highlight w:val="none"/>
        </w:rPr>
        <w:t>、非学术类期刊发表的论文总共最多累计两篇，达不到3000字的一般学术类刊物等同于非学术类期刊计分；4、核心期刊的认定以论文发表当年《北大中文核心期刊要目总览》和CSSCI官方公布期刊为准，SCD认定以论文发表当年公布的SCD期刊目录为准，所有的杂志增刊、专刊不列入学术期刊，只算一般非学术期刊；5、是否学术类期刊由学院学术委员会认定；6、发表论文必须见刊，用稿通知一律不算；7、参与编著的，主编（非排名第1）、副主编直接视为参编，编委成员只有在著作里注明分工，才能折算分数。</w:t>
      </w:r>
      <w:r>
        <w:rPr>
          <w:rFonts w:hint="eastAsia" w:ascii="仿宋_GB2312" w:hAnsi="仿宋" w:eastAsia="仿宋_GB2312" w:cs="仿宋"/>
          <w:sz w:val="28"/>
          <w:szCs w:val="28"/>
          <w:highlight w:val="none"/>
          <w:lang w:val="en-US" w:eastAsia="zh-CN"/>
        </w:rPr>
        <w:t>8、在观察期（预警后36个月）内中科院《国际期刊预警名单（试行）》名单期刊、三大出版社（Frontiers、MDPI和Hindawi）期刊上发表的论文，不予计分。9、其他未尽事宜</w:t>
      </w:r>
      <w:r>
        <w:rPr>
          <w:rFonts w:hint="eastAsia" w:ascii="仿宋_GB2312" w:hAnsi="仿宋" w:eastAsia="仿宋_GB2312" w:cs="仿宋"/>
          <w:sz w:val="28"/>
          <w:szCs w:val="28"/>
          <w:highlight w:val="none"/>
        </w:rPr>
        <w:t>由</w:t>
      </w:r>
      <w:r>
        <w:rPr>
          <w:rFonts w:hint="eastAsia" w:ascii="仿宋_GB2312" w:hAnsi="仿宋" w:eastAsia="仿宋_GB2312" w:cs="仿宋"/>
          <w:sz w:val="28"/>
          <w:szCs w:val="28"/>
          <w:highlight w:val="none"/>
          <w:lang w:eastAsia="zh-CN"/>
        </w:rPr>
        <w:t>贵州大学公共管理</w:t>
      </w:r>
      <w:r>
        <w:rPr>
          <w:rFonts w:hint="eastAsia" w:ascii="仿宋_GB2312" w:hAnsi="仿宋" w:eastAsia="仿宋_GB2312" w:cs="仿宋"/>
          <w:sz w:val="28"/>
          <w:szCs w:val="28"/>
          <w:highlight w:val="none"/>
        </w:rPr>
        <w:t>学院认定</w:t>
      </w:r>
      <w:r>
        <w:rPr>
          <w:rFonts w:hint="eastAsia" w:ascii="仿宋_GB2312" w:hAnsi="仿宋" w:eastAsia="仿宋_GB2312" w:cs="仿宋"/>
          <w:sz w:val="28"/>
          <w:szCs w:val="28"/>
          <w:highlight w:val="none"/>
          <w:lang w:eastAsia="zh-CN"/>
        </w:rPr>
        <w:t>。</w:t>
      </w:r>
    </w:p>
    <w:p w14:paraId="4B4084DA">
      <w:pPr>
        <w:spacing w:line="560" w:lineRule="exact"/>
        <w:ind w:firstLine="560" w:firstLineChars="200"/>
        <w:rPr>
          <w:rFonts w:hint="eastAsia" w:ascii="仿宋_GB2312" w:hAnsi="仿宋" w:eastAsia="仿宋_GB2312" w:cs="仿宋"/>
          <w:sz w:val="28"/>
          <w:szCs w:val="28"/>
          <w:highlight w:val="none"/>
          <w:lang w:val="en-US" w:eastAsia="zh-CN"/>
        </w:rPr>
      </w:pPr>
    </w:p>
    <w:p w14:paraId="3FBF88D8">
      <w:pPr>
        <w:spacing w:line="500" w:lineRule="atLeast"/>
        <w:jc w:val="center"/>
        <w:rPr>
          <w:rFonts w:ascii="仿宋_GB2312" w:hAnsi="仿宋" w:eastAsia="仿宋_GB2312" w:cs="仿宋"/>
          <w:b/>
          <w:sz w:val="28"/>
          <w:szCs w:val="32"/>
          <w:highlight w:val="none"/>
        </w:rPr>
      </w:pPr>
      <w:r>
        <w:rPr>
          <w:rFonts w:hint="eastAsia" w:ascii="仿宋_GB2312" w:hAnsi="仿宋" w:eastAsia="仿宋_GB2312" w:cs="仿宋"/>
          <w:b/>
          <w:sz w:val="28"/>
          <w:szCs w:val="32"/>
          <w:highlight w:val="none"/>
        </w:rPr>
        <w:t>专利的计分标准（单位：分/项）</w:t>
      </w:r>
    </w:p>
    <w:tbl>
      <w:tblPr>
        <w:tblStyle w:val="6"/>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8"/>
        <w:gridCol w:w="2526"/>
      </w:tblGrid>
      <w:tr w14:paraId="2BCE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3455" w:type="pct"/>
            <w:vAlign w:val="center"/>
          </w:tcPr>
          <w:p w14:paraId="6160AC76">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专利情况</w:t>
            </w:r>
          </w:p>
        </w:tc>
        <w:tc>
          <w:tcPr>
            <w:tcW w:w="1545" w:type="pct"/>
            <w:vAlign w:val="center"/>
          </w:tcPr>
          <w:p w14:paraId="6F0B8FBD">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分值</w:t>
            </w:r>
          </w:p>
        </w:tc>
      </w:tr>
      <w:tr w14:paraId="3B3D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55" w:type="pct"/>
            <w:vAlign w:val="center"/>
          </w:tcPr>
          <w:p w14:paraId="49E40D96">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获授权国家发明专利</w:t>
            </w:r>
          </w:p>
        </w:tc>
        <w:tc>
          <w:tcPr>
            <w:tcW w:w="1545" w:type="pct"/>
            <w:vAlign w:val="center"/>
          </w:tcPr>
          <w:p w14:paraId="03B50B8F">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100</w:t>
            </w:r>
          </w:p>
        </w:tc>
      </w:tr>
      <w:tr w14:paraId="0656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55" w:type="pct"/>
            <w:vAlign w:val="center"/>
          </w:tcPr>
          <w:p w14:paraId="6814E6FB">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获授权实用新型专利或软件著作权（限三项）</w:t>
            </w:r>
          </w:p>
        </w:tc>
        <w:tc>
          <w:tcPr>
            <w:tcW w:w="1545" w:type="pct"/>
            <w:vAlign w:val="center"/>
          </w:tcPr>
          <w:p w14:paraId="258B10BD">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30</w:t>
            </w:r>
          </w:p>
        </w:tc>
      </w:tr>
      <w:tr w14:paraId="3F44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455" w:type="pct"/>
            <w:vAlign w:val="center"/>
          </w:tcPr>
          <w:p w14:paraId="2CD58C78">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申请国家发明专利（限一项）</w:t>
            </w:r>
          </w:p>
        </w:tc>
        <w:tc>
          <w:tcPr>
            <w:tcW w:w="1545" w:type="pct"/>
            <w:vAlign w:val="center"/>
          </w:tcPr>
          <w:p w14:paraId="0A7C90A3">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20</w:t>
            </w:r>
          </w:p>
        </w:tc>
      </w:tr>
    </w:tbl>
    <w:p w14:paraId="62F32571">
      <w:pPr>
        <w:spacing w:line="500" w:lineRule="atLeast"/>
        <w:jc w:val="center"/>
        <w:rPr>
          <w:rFonts w:ascii="仿宋_GB2312" w:hAnsi="仿宋" w:eastAsia="仿宋_GB2312" w:cs="仿宋"/>
          <w:b/>
          <w:sz w:val="28"/>
          <w:szCs w:val="32"/>
          <w:highlight w:val="none"/>
        </w:rPr>
      </w:pPr>
    </w:p>
    <w:p w14:paraId="17707E14">
      <w:pPr>
        <w:spacing w:line="500" w:lineRule="atLeast"/>
        <w:jc w:val="center"/>
        <w:rPr>
          <w:rFonts w:ascii="宋体" w:hAnsi="宋体"/>
          <w:sz w:val="24"/>
          <w:highlight w:val="none"/>
        </w:rPr>
      </w:pPr>
      <w:r>
        <w:rPr>
          <w:rFonts w:hint="eastAsia" w:ascii="仿宋_GB2312" w:hAnsi="仿宋" w:eastAsia="仿宋_GB2312" w:cs="仿宋"/>
          <w:b/>
          <w:sz w:val="28"/>
          <w:szCs w:val="32"/>
          <w:highlight w:val="none"/>
        </w:rPr>
        <w:t>科研项目的计分标准（单位：分/项）</w:t>
      </w:r>
    </w:p>
    <w:tbl>
      <w:tblPr>
        <w:tblStyle w:val="6"/>
        <w:tblW w:w="47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3"/>
        <w:gridCol w:w="1949"/>
        <w:gridCol w:w="3637"/>
      </w:tblGrid>
      <w:tr w14:paraId="4335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76" w:type="pct"/>
            <w:vAlign w:val="center"/>
          </w:tcPr>
          <w:p w14:paraId="066CD17E">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科研项目级别</w:t>
            </w:r>
          </w:p>
        </w:tc>
        <w:tc>
          <w:tcPr>
            <w:tcW w:w="1194" w:type="pct"/>
            <w:vAlign w:val="center"/>
          </w:tcPr>
          <w:p w14:paraId="409A17FD">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主持或参与</w:t>
            </w:r>
          </w:p>
        </w:tc>
        <w:tc>
          <w:tcPr>
            <w:tcW w:w="2228" w:type="pct"/>
            <w:vAlign w:val="center"/>
          </w:tcPr>
          <w:p w14:paraId="6626D015">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分值</w:t>
            </w:r>
          </w:p>
        </w:tc>
      </w:tr>
      <w:tr w14:paraId="2CFA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76" w:type="pct"/>
            <w:vMerge w:val="restart"/>
            <w:vAlign w:val="center"/>
          </w:tcPr>
          <w:p w14:paraId="47BE0594">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国家级（纵向）</w:t>
            </w:r>
          </w:p>
        </w:tc>
        <w:tc>
          <w:tcPr>
            <w:tcW w:w="1194" w:type="pct"/>
            <w:vAlign w:val="center"/>
          </w:tcPr>
          <w:p w14:paraId="044729C3">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主持</w:t>
            </w:r>
          </w:p>
        </w:tc>
        <w:tc>
          <w:tcPr>
            <w:tcW w:w="2228" w:type="pct"/>
            <w:vAlign w:val="center"/>
          </w:tcPr>
          <w:p w14:paraId="1A1B766C">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200</w:t>
            </w:r>
          </w:p>
        </w:tc>
      </w:tr>
      <w:tr w14:paraId="6138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76" w:type="pct"/>
            <w:vMerge w:val="continue"/>
            <w:vAlign w:val="center"/>
          </w:tcPr>
          <w:p w14:paraId="64C2E8ED">
            <w:pPr>
              <w:spacing w:line="500" w:lineRule="atLeast"/>
              <w:jc w:val="center"/>
              <w:rPr>
                <w:rFonts w:ascii="仿宋" w:hAnsi="仿宋" w:eastAsia="仿宋"/>
                <w:sz w:val="28"/>
                <w:szCs w:val="28"/>
                <w:highlight w:val="none"/>
              </w:rPr>
            </w:pPr>
          </w:p>
        </w:tc>
        <w:tc>
          <w:tcPr>
            <w:tcW w:w="1194" w:type="pct"/>
            <w:vAlign w:val="center"/>
          </w:tcPr>
          <w:p w14:paraId="21DFC964">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参与</w:t>
            </w:r>
          </w:p>
        </w:tc>
        <w:tc>
          <w:tcPr>
            <w:tcW w:w="2228" w:type="pct"/>
            <w:vAlign w:val="center"/>
          </w:tcPr>
          <w:p w14:paraId="461D65F8">
            <w:pPr>
              <w:spacing w:line="500" w:lineRule="atLeast"/>
              <w:rPr>
                <w:rFonts w:ascii="仿宋" w:hAnsi="仿宋" w:eastAsia="仿宋"/>
                <w:sz w:val="28"/>
                <w:szCs w:val="28"/>
                <w:highlight w:val="none"/>
              </w:rPr>
            </w:pPr>
            <w:r>
              <w:rPr>
                <w:rFonts w:hint="eastAsia" w:ascii="仿宋" w:hAnsi="仿宋" w:eastAsia="仿宋"/>
                <w:sz w:val="28"/>
                <w:szCs w:val="28"/>
                <w:highlight w:val="none"/>
              </w:rPr>
              <w:t>主持人自主分配，60分/年</w:t>
            </w:r>
          </w:p>
        </w:tc>
      </w:tr>
      <w:tr w14:paraId="1EAB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76" w:type="pct"/>
            <w:vMerge w:val="restart"/>
            <w:vAlign w:val="center"/>
          </w:tcPr>
          <w:p w14:paraId="0C1AF76C">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省部级（纵向）</w:t>
            </w:r>
          </w:p>
        </w:tc>
        <w:tc>
          <w:tcPr>
            <w:tcW w:w="1194" w:type="pct"/>
            <w:vAlign w:val="center"/>
          </w:tcPr>
          <w:p w14:paraId="2530563E">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主持</w:t>
            </w:r>
          </w:p>
        </w:tc>
        <w:tc>
          <w:tcPr>
            <w:tcW w:w="2228" w:type="pct"/>
            <w:vAlign w:val="center"/>
          </w:tcPr>
          <w:p w14:paraId="50C0F1F2">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80</w:t>
            </w:r>
          </w:p>
        </w:tc>
      </w:tr>
      <w:tr w14:paraId="5FB4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76" w:type="pct"/>
            <w:vMerge w:val="continue"/>
            <w:vAlign w:val="center"/>
          </w:tcPr>
          <w:p w14:paraId="371D0970">
            <w:pPr>
              <w:spacing w:line="500" w:lineRule="atLeast"/>
              <w:jc w:val="center"/>
              <w:rPr>
                <w:rFonts w:ascii="仿宋" w:hAnsi="仿宋" w:eastAsia="仿宋"/>
                <w:sz w:val="28"/>
                <w:szCs w:val="28"/>
                <w:highlight w:val="none"/>
              </w:rPr>
            </w:pPr>
          </w:p>
        </w:tc>
        <w:tc>
          <w:tcPr>
            <w:tcW w:w="1194" w:type="pct"/>
            <w:vAlign w:val="center"/>
          </w:tcPr>
          <w:p w14:paraId="06B3C3B2">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参与</w:t>
            </w:r>
          </w:p>
        </w:tc>
        <w:tc>
          <w:tcPr>
            <w:tcW w:w="2228" w:type="pct"/>
            <w:vAlign w:val="center"/>
          </w:tcPr>
          <w:p w14:paraId="4F4D18C4">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主持人自主分配，30分/年</w:t>
            </w:r>
          </w:p>
        </w:tc>
      </w:tr>
      <w:tr w14:paraId="3F67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76" w:type="pct"/>
            <w:vMerge w:val="restart"/>
            <w:vAlign w:val="center"/>
          </w:tcPr>
          <w:p w14:paraId="7F991DDD">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市厅级（纵向）</w:t>
            </w:r>
          </w:p>
        </w:tc>
        <w:tc>
          <w:tcPr>
            <w:tcW w:w="1194" w:type="pct"/>
            <w:vAlign w:val="center"/>
          </w:tcPr>
          <w:p w14:paraId="08979735">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主持</w:t>
            </w:r>
          </w:p>
        </w:tc>
        <w:tc>
          <w:tcPr>
            <w:tcW w:w="2228" w:type="pct"/>
            <w:vAlign w:val="center"/>
          </w:tcPr>
          <w:p w14:paraId="3125C7EB">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40</w:t>
            </w:r>
          </w:p>
        </w:tc>
      </w:tr>
      <w:tr w14:paraId="68AC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76" w:type="pct"/>
            <w:vMerge w:val="continue"/>
            <w:vAlign w:val="center"/>
          </w:tcPr>
          <w:p w14:paraId="6B58C618">
            <w:pPr>
              <w:spacing w:line="500" w:lineRule="atLeast"/>
              <w:jc w:val="center"/>
              <w:rPr>
                <w:rFonts w:hint="eastAsia" w:ascii="仿宋" w:hAnsi="仿宋" w:eastAsia="仿宋"/>
                <w:sz w:val="28"/>
                <w:szCs w:val="28"/>
                <w:highlight w:val="none"/>
              </w:rPr>
            </w:pPr>
          </w:p>
        </w:tc>
        <w:tc>
          <w:tcPr>
            <w:tcW w:w="1194" w:type="pct"/>
            <w:vAlign w:val="center"/>
          </w:tcPr>
          <w:p w14:paraId="496BFA43">
            <w:pPr>
              <w:spacing w:line="500" w:lineRule="atLeast"/>
              <w:jc w:val="center"/>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参与</w:t>
            </w:r>
          </w:p>
        </w:tc>
        <w:tc>
          <w:tcPr>
            <w:tcW w:w="2228" w:type="pct"/>
            <w:vAlign w:val="center"/>
          </w:tcPr>
          <w:p w14:paraId="7816F966">
            <w:pPr>
              <w:spacing w:line="500" w:lineRule="atLeast"/>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lang w:eastAsia="zh-CN"/>
              </w:rPr>
              <w:t>主持人自主分配，</w:t>
            </w:r>
            <w:r>
              <w:rPr>
                <w:rFonts w:hint="eastAsia" w:ascii="仿宋" w:hAnsi="仿宋" w:eastAsia="仿宋"/>
                <w:sz w:val="28"/>
                <w:szCs w:val="28"/>
                <w:highlight w:val="none"/>
                <w:lang w:val="en-US" w:eastAsia="zh-CN"/>
              </w:rPr>
              <w:t>10分/年</w:t>
            </w:r>
          </w:p>
        </w:tc>
      </w:tr>
      <w:tr w14:paraId="7EEF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76" w:type="pct"/>
            <w:vMerge w:val="restart"/>
            <w:vAlign w:val="center"/>
          </w:tcPr>
          <w:p w14:paraId="5180DC3E">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校级</w:t>
            </w:r>
          </w:p>
        </w:tc>
        <w:tc>
          <w:tcPr>
            <w:tcW w:w="1194" w:type="pct"/>
            <w:vAlign w:val="center"/>
          </w:tcPr>
          <w:p w14:paraId="6AAA2CBA">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主持</w:t>
            </w:r>
          </w:p>
        </w:tc>
        <w:tc>
          <w:tcPr>
            <w:tcW w:w="2228" w:type="pct"/>
            <w:vAlign w:val="center"/>
          </w:tcPr>
          <w:p w14:paraId="2C3B1A4F">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20（研究生创新基金15）</w:t>
            </w:r>
          </w:p>
        </w:tc>
      </w:tr>
      <w:tr w14:paraId="72DD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76" w:type="pct"/>
            <w:vMerge w:val="continue"/>
            <w:vAlign w:val="center"/>
          </w:tcPr>
          <w:p w14:paraId="4EFBA369">
            <w:pPr>
              <w:spacing w:line="500" w:lineRule="atLeast"/>
              <w:jc w:val="center"/>
              <w:rPr>
                <w:rFonts w:hint="eastAsia" w:ascii="仿宋" w:hAnsi="仿宋" w:eastAsia="仿宋"/>
                <w:sz w:val="28"/>
                <w:szCs w:val="28"/>
                <w:highlight w:val="none"/>
              </w:rPr>
            </w:pPr>
          </w:p>
        </w:tc>
        <w:tc>
          <w:tcPr>
            <w:tcW w:w="1194" w:type="pct"/>
            <w:vAlign w:val="center"/>
          </w:tcPr>
          <w:p w14:paraId="2C0EE941">
            <w:pPr>
              <w:spacing w:line="500" w:lineRule="atLeast"/>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参与</w:t>
            </w:r>
          </w:p>
        </w:tc>
        <w:tc>
          <w:tcPr>
            <w:tcW w:w="2228" w:type="pct"/>
            <w:vAlign w:val="center"/>
          </w:tcPr>
          <w:p w14:paraId="134B6569">
            <w:pPr>
              <w:spacing w:line="500" w:lineRule="atLeast"/>
              <w:jc w:val="center"/>
              <w:rPr>
                <w:rFonts w:hint="default" w:ascii="仿宋" w:hAnsi="仿宋" w:eastAsia="仿宋"/>
                <w:sz w:val="28"/>
                <w:szCs w:val="28"/>
                <w:highlight w:val="none"/>
                <w:lang w:val="en-US" w:eastAsia="zh-CN"/>
              </w:rPr>
            </w:pPr>
            <w:r>
              <w:rPr>
                <w:rFonts w:hint="eastAsia" w:ascii="仿宋" w:hAnsi="仿宋" w:eastAsia="仿宋"/>
                <w:sz w:val="28"/>
                <w:szCs w:val="28"/>
                <w:highlight w:val="none"/>
              </w:rPr>
              <w:t>主持人自主分配，</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分/年</w:t>
            </w:r>
          </w:p>
        </w:tc>
      </w:tr>
      <w:tr w14:paraId="69D4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76" w:type="pct"/>
            <w:vAlign w:val="center"/>
          </w:tcPr>
          <w:p w14:paraId="62DBF10E">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院级</w:t>
            </w:r>
          </w:p>
        </w:tc>
        <w:tc>
          <w:tcPr>
            <w:tcW w:w="1194" w:type="pct"/>
            <w:vAlign w:val="center"/>
          </w:tcPr>
          <w:p w14:paraId="663171BF">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主持</w:t>
            </w:r>
          </w:p>
        </w:tc>
        <w:tc>
          <w:tcPr>
            <w:tcW w:w="2228" w:type="pct"/>
            <w:vAlign w:val="center"/>
          </w:tcPr>
          <w:p w14:paraId="6FFC60A1">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10</w:t>
            </w:r>
          </w:p>
        </w:tc>
      </w:tr>
    </w:tbl>
    <w:p w14:paraId="0CC3C5CC">
      <w:pPr>
        <w:spacing w:line="560" w:lineRule="exact"/>
        <w:ind w:firstLine="560" w:firstLineChars="200"/>
        <w:rPr>
          <w:rFonts w:hint="eastAsia" w:ascii="仿宋_GB2312" w:hAnsi="仿宋" w:eastAsia="仿宋_GB2312" w:cs="仿宋"/>
          <w:sz w:val="28"/>
          <w:szCs w:val="28"/>
          <w:highlight w:val="none"/>
          <w:lang w:val="en-US" w:eastAsia="zh-CN"/>
        </w:rPr>
      </w:pPr>
      <w:r>
        <w:rPr>
          <w:rFonts w:hint="eastAsia" w:ascii="仿宋_GB2312" w:hAnsi="仿宋" w:eastAsia="仿宋_GB2312" w:cs="仿宋"/>
          <w:sz w:val="28"/>
          <w:szCs w:val="28"/>
          <w:highlight w:val="none"/>
        </w:rPr>
        <w:t>注：1、参与科研项目计分，省部级课题、国家级课题</w:t>
      </w:r>
      <w:r>
        <w:rPr>
          <w:rFonts w:hint="eastAsia" w:ascii="仿宋_GB2312" w:hAnsi="仿宋" w:eastAsia="仿宋_GB2312" w:cs="仿宋"/>
          <w:sz w:val="28"/>
          <w:szCs w:val="28"/>
          <w:highlight w:val="none"/>
          <w:lang w:eastAsia="zh-CN"/>
        </w:rPr>
        <w:t>、市厅级课题、校级课题</w:t>
      </w:r>
      <w:r>
        <w:rPr>
          <w:rFonts w:hint="eastAsia" w:ascii="仿宋_GB2312" w:hAnsi="仿宋" w:eastAsia="仿宋_GB2312" w:cs="仿宋"/>
          <w:sz w:val="28"/>
          <w:szCs w:val="28"/>
          <w:highlight w:val="none"/>
        </w:rPr>
        <w:t>在项目期内（延期不算），由课题主持老师将获奖分值自主分配给参与项目学生，所有参与项目学生的加分总和不超过该项目奖励总分。加分认定时需提供</w:t>
      </w:r>
      <w:r>
        <w:rPr>
          <w:rFonts w:hint="eastAsia" w:ascii="仿宋_GB2312" w:hAnsi="仿宋" w:eastAsia="仿宋_GB2312" w:cs="仿宋"/>
          <w:sz w:val="28"/>
          <w:szCs w:val="28"/>
          <w:highlight w:val="none"/>
          <w:lang w:eastAsia="zh-CN"/>
        </w:rPr>
        <w:t>项目</w:t>
      </w:r>
      <w:r>
        <w:rPr>
          <w:rFonts w:hint="eastAsia" w:ascii="仿宋_GB2312" w:hAnsi="仿宋" w:eastAsia="仿宋_GB2312" w:cs="仿宋"/>
          <w:sz w:val="28"/>
          <w:szCs w:val="28"/>
          <w:highlight w:val="none"/>
        </w:rPr>
        <w:t>主持老师填写签字的项目加分分配表以及“项目合同书”或“结题书”等成员名单作为佐证材料</w:t>
      </w:r>
      <w:r>
        <w:rPr>
          <w:rFonts w:hint="eastAsia" w:ascii="仿宋_GB2312" w:hAnsi="仿宋" w:eastAsia="仿宋_GB2312" w:cs="仿宋"/>
          <w:sz w:val="28"/>
          <w:szCs w:val="28"/>
          <w:highlight w:val="none"/>
          <w:lang w:eastAsia="zh-CN"/>
        </w:rPr>
        <w:t>，参与由学生主持的校级课题不加分</w:t>
      </w:r>
      <w:r>
        <w:rPr>
          <w:rFonts w:hint="eastAsia" w:ascii="仿宋_GB2312" w:hAnsi="仿宋" w:eastAsia="仿宋_GB2312" w:cs="仿宋"/>
          <w:sz w:val="28"/>
          <w:szCs w:val="28"/>
          <w:highlight w:val="none"/>
        </w:rPr>
        <w:t>。2、主持校级课题确实没有合同书的，以签字盖章同意立项的申请书为准。3、除参与自己导师课题，参加贵州大学公共管理学院其他老师课题同样计分。</w:t>
      </w:r>
      <w:r>
        <w:rPr>
          <w:rFonts w:hint="eastAsia" w:ascii="仿宋_GB2312" w:hAnsi="仿宋" w:eastAsia="仿宋_GB2312" w:cs="仿宋"/>
          <w:sz w:val="28"/>
          <w:szCs w:val="28"/>
          <w:highlight w:val="none"/>
          <w:lang w:val="en-US" w:eastAsia="zh-CN"/>
        </w:rPr>
        <w:t>4、省级课题包括：省委宣传部（哲学社会科学规划办公室）、省科技厅、艺术科学规划办公室、孔学堂的国学单列项目；5、其他未尽事宜</w:t>
      </w:r>
      <w:r>
        <w:rPr>
          <w:rFonts w:hint="eastAsia" w:ascii="仿宋_GB2312" w:hAnsi="仿宋" w:eastAsia="仿宋_GB2312" w:cs="仿宋"/>
          <w:sz w:val="28"/>
          <w:szCs w:val="28"/>
          <w:highlight w:val="none"/>
        </w:rPr>
        <w:t>由</w:t>
      </w:r>
      <w:r>
        <w:rPr>
          <w:rFonts w:hint="eastAsia" w:ascii="仿宋_GB2312" w:hAnsi="仿宋" w:eastAsia="仿宋_GB2312" w:cs="仿宋"/>
          <w:sz w:val="28"/>
          <w:szCs w:val="28"/>
          <w:highlight w:val="none"/>
          <w:lang w:eastAsia="zh-CN"/>
        </w:rPr>
        <w:t>贵州大学公共管理</w:t>
      </w:r>
      <w:r>
        <w:rPr>
          <w:rFonts w:hint="eastAsia" w:ascii="仿宋_GB2312" w:hAnsi="仿宋" w:eastAsia="仿宋_GB2312" w:cs="仿宋"/>
          <w:sz w:val="28"/>
          <w:szCs w:val="28"/>
          <w:highlight w:val="none"/>
        </w:rPr>
        <w:t>学院认定</w:t>
      </w:r>
      <w:r>
        <w:rPr>
          <w:rFonts w:hint="eastAsia" w:ascii="仿宋_GB2312" w:hAnsi="仿宋" w:eastAsia="仿宋_GB2312" w:cs="仿宋"/>
          <w:sz w:val="28"/>
          <w:szCs w:val="28"/>
          <w:highlight w:val="none"/>
          <w:lang w:eastAsia="zh-CN"/>
        </w:rPr>
        <w:t>。</w:t>
      </w:r>
    </w:p>
    <w:p w14:paraId="7603A87D">
      <w:pPr>
        <w:spacing w:line="500" w:lineRule="atLeast"/>
        <w:jc w:val="center"/>
        <w:rPr>
          <w:rFonts w:ascii="仿宋_GB2312" w:hAnsi="仿宋" w:eastAsia="仿宋_GB2312" w:cs="仿宋"/>
          <w:b/>
          <w:sz w:val="28"/>
          <w:szCs w:val="32"/>
          <w:highlight w:val="none"/>
        </w:rPr>
      </w:pPr>
      <w:r>
        <w:rPr>
          <w:rFonts w:hint="eastAsia" w:ascii="仿宋_GB2312" w:hAnsi="仿宋" w:eastAsia="仿宋_GB2312" w:cs="仿宋"/>
          <w:b/>
          <w:sz w:val="28"/>
          <w:szCs w:val="32"/>
          <w:highlight w:val="none"/>
        </w:rPr>
        <w:t>其他事项计分标准（单位：分/项）</w:t>
      </w:r>
    </w:p>
    <w:tbl>
      <w:tblPr>
        <w:tblStyle w:val="6"/>
        <w:tblW w:w="47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9"/>
        <w:gridCol w:w="2524"/>
      </w:tblGrid>
      <w:tr w14:paraId="5C50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3455" w:type="pct"/>
            <w:vAlign w:val="center"/>
          </w:tcPr>
          <w:p w14:paraId="67BC613C">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事项</w:t>
            </w:r>
          </w:p>
        </w:tc>
        <w:tc>
          <w:tcPr>
            <w:tcW w:w="1544" w:type="pct"/>
            <w:vAlign w:val="center"/>
          </w:tcPr>
          <w:p w14:paraId="6E4FE992">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分值</w:t>
            </w:r>
          </w:p>
        </w:tc>
      </w:tr>
      <w:tr w14:paraId="0659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55" w:type="pct"/>
            <w:vAlign w:val="center"/>
          </w:tcPr>
          <w:p w14:paraId="3672FD22">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在国际会议作报告</w:t>
            </w:r>
          </w:p>
        </w:tc>
        <w:tc>
          <w:tcPr>
            <w:tcW w:w="1544" w:type="pct"/>
            <w:vAlign w:val="center"/>
          </w:tcPr>
          <w:p w14:paraId="61B35D8A">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50</w:t>
            </w:r>
          </w:p>
        </w:tc>
      </w:tr>
      <w:tr w14:paraId="7060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55" w:type="pct"/>
            <w:vAlign w:val="center"/>
          </w:tcPr>
          <w:p w14:paraId="5116975F">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在国内一级学会主办的学术会议作报告</w:t>
            </w:r>
          </w:p>
        </w:tc>
        <w:tc>
          <w:tcPr>
            <w:tcW w:w="1544" w:type="pct"/>
            <w:vAlign w:val="center"/>
          </w:tcPr>
          <w:p w14:paraId="1A87F89A">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30</w:t>
            </w:r>
          </w:p>
        </w:tc>
      </w:tr>
      <w:tr w14:paraId="336F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55" w:type="pct"/>
            <w:vAlign w:val="center"/>
          </w:tcPr>
          <w:p w14:paraId="5EA80AEF">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参加国际交流、交换生、联合培养</w:t>
            </w:r>
          </w:p>
        </w:tc>
        <w:tc>
          <w:tcPr>
            <w:tcW w:w="1544" w:type="pct"/>
            <w:vAlign w:val="center"/>
          </w:tcPr>
          <w:p w14:paraId="085CA901">
            <w:pPr>
              <w:spacing w:line="500" w:lineRule="atLeast"/>
              <w:jc w:val="center"/>
              <w:rPr>
                <w:rFonts w:ascii="仿宋" w:hAnsi="仿宋" w:eastAsia="仿宋"/>
                <w:sz w:val="28"/>
                <w:szCs w:val="28"/>
                <w:highlight w:val="none"/>
              </w:rPr>
            </w:pPr>
            <w:r>
              <w:rPr>
                <w:rFonts w:hint="eastAsia" w:ascii="仿宋" w:hAnsi="仿宋" w:eastAsia="仿宋"/>
                <w:sz w:val="28"/>
                <w:szCs w:val="28"/>
                <w:highlight w:val="none"/>
              </w:rPr>
              <w:t>20</w:t>
            </w:r>
          </w:p>
        </w:tc>
      </w:tr>
    </w:tbl>
    <w:p w14:paraId="4B6101E8">
      <w:pPr>
        <w:spacing w:line="560" w:lineRule="exact"/>
        <w:ind w:firstLine="640" w:firstLineChars="200"/>
        <w:rPr>
          <w:rFonts w:ascii="仿宋_GB2312" w:hAnsi="仿宋" w:eastAsia="仿宋_GB2312" w:cs="仿宋"/>
          <w:sz w:val="32"/>
          <w:szCs w:val="32"/>
          <w:highlight w:val="none"/>
        </w:rPr>
      </w:pPr>
    </w:p>
    <w:p w14:paraId="4A549808">
      <w:pPr>
        <w:spacing w:line="560" w:lineRule="exact"/>
        <w:ind w:firstLine="643" w:firstLineChars="200"/>
        <w:rPr>
          <w:rFonts w:ascii="仿宋_GB2312" w:hAnsi="仿宋" w:eastAsia="仿宋_GB2312" w:cs="仿宋"/>
          <w:sz w:val="32"/>
          <w:szCs w:val="32"/>
          <w:highlight w:val="none"/>
        </w:rPr>
      </w:pPr>
      <w:r>
        <w:rPr>
          <w:rFonts w:hint="eastAsia" w:ascii="仿宋_GB2312" w:hAnsi="仿宋" w:eastAsia="仿宋_GB2312" w:cs="仿宋"/>
          <w:b/>
          <w:bCs/>
          <w:sz w:val="32"/>
          <w:szCs w:val="32"/>
          <w:highlight w:val="none"/>
        </w:rPr>
        <w:t xml:space="preserve">第二十条 </w:t>
      </w:r>
      <w:r>
        <w:rPr>
          <w:rFonts w:hint="eastAsia" w:ascii="仿宋_GB2312" w:hAnsi="仿宋" w:eastAsia="仿宋_GB2312" w:cs="仿宋"/>
          <w:sz w:val="32"/>
          <w:szCs w:val="32"/>
          <w:highlight w:val="none"/>
        </w:rPr>
        <w:t>学科竞赛成绩</w:t>
      </w:r>
      <w:r>
        <w:rPr>
          <w:rFonts w:ascii="仿宋_GB2312" w:hAnsi="仿宋" w:eastAsia="仿宋_GB2312" w:cs="仿宋"/>
          <w:sz w:val="32"/>
          <w:szCs w:val="32"/>
          <w:highlight w:val="none"/>
        </w:rPr>
        <w:t>C</w:t>
      </w:r>
      <w:r>
        <w:rPr>
          <w:rFonts w:hint="eastAsia" w:ascii="仿宋_GB2312" w:hAnsi="仿宋" w:eastAsia="仿宋_GB2312" w:cs="仿宋"/>
          <w:sz w:val="32"/>
          <w:szCs w:val="32"/>
          <w:highlight w:val="none"/>
        </w:rPr>
        <w:t>包括学生参与各项学科专业类竞赛的成绩，多项不同赛事分值可累加，同一赛事按最高奖项计分。在中国“互联网+”大学生创新创业大赛、“挑战杯”全国大学生课外学术科技作品竞赛、“挑战杯”中国大学生创业计划大赛、“外研社杯”全国英语演讲大赛、全国研究生数学建模竞赛、全国研究生电子设计竞赛、全国研究生公共管理案例大赛等教育部认定的具有较大影响力的学科竞赛获奖视为国家级奖项，其对应的省级（地区）竞赛视为省部级，对应的校赛视为校级。具体计分办法如下：</w:t>
      </w:r>
    </w:p>
    <w:p w14:paraId="1994ECD8">
      <w:pPr>
        <w:spacing w:line="500" w:lineRule="atLeast"/>
        <w:jc w:val="center"/>
        <w:rPr>
          <w:rFonts w:ascii="仿宋_GB2312" w:hAnsi="仿宋" w:eastAsia="仿宋_GB2312" w:cs="仿宋"/>
          <w:b/>
          <w:sz w:val="28"/>
          <w:szCs w:val="32"/>
          <w:highlight w:val="none"/>
        </w:rPr>
      </w:pPr>
      <w:r>
        <w:rPr>
          <w:rFonts w:hint="eastAsia" w:ascii="仿宋_GB2312" w:hAnsi="仿宋" w:eastAsia="仿宋_GB2312" w:cs="仿宋"/>
          <w:b/>
          <w:sz w:val="28"/>
          <w:szCs w:val="32"/>
          <w:highlight w:val="none"/>
        </w:rPr>
        <w:t>学科竞赛获奖计分标准（单位：分/项）</w:t>
      </w:r>
    </w:p>
    <w:tbl>
      <w:tblPr>
        <w:tblStyle w:val="6"/>
        <w:tblW w:w="7131" w:type="dxa"/>
        <w:jc w:val="center"/>
        <w:tblLayout w:type="fixed"/>
        <w:tblCellMar>
          <w:top w:w="0" w:type="dxa"/>
          <w:left w:w="0" w:type="dxa"/>
          <w:bottom w:w="0" w:type="dxa"/>
          <w:right w:w="0" w:type="dxa"/>
        </w:tblCellMar>
      </w:tblPr>
      <w:tblGrid>
        <w:gridCol w:w="1759"/>
        <w:gridCol w:w="1340"/>
        <w:gridCol w:w="1276"/>
        <w:gridCol w:w="1275"/>
        <w:gridCol w:w="1481"/>
      </w:tblGrid>
      <w:tr w14:paraId="6A6948AE">
        <w:tblPrEx>
          <w:tblCellMar>
            <w:top w:w="0" w:type="dxa"/>
            <w:left w:w="0" w:type="dxa"/>
            <w:bottom w:w="0" w:type="dxa"/>
            <w:right w:w="0" w:type="dxa"/>
          </w:tblCellMar>
        </w:tblPrEx>
        <w:trPr>
          <w:trHeight w:val="635" w:hRule="atLeast"/>
          <w:jc w:val="center"/>
        </w:trPr>
        <w:tc>
          <w:tcPr>
            <w:tcW w:w="1759" w:type="dxa"/>
            <w:tcBorders>
              <w:top w:val="single" w:color="auto" w:sz="8" w:space="0"/>
              <w:left w:val="single" w:color="auto" w:sz="4" w:space="0"/>
              <w:bottom w:val="single" w:color="auto" w:sz="4" w:space="0"/>
              <w:right w:val="single" w:color="auto" w:sz="4" w:space="0"/>
              <w:tl2br w:val="single" w:color="auto" w:sz="4" w:space="0"/>
            </w:tcBorders>
            <w:tcMar>
              <w:top w:w="0" w:type="dxa"/>
              <w:left w:w="108" w:type="dxa"/>
              <w:bottom w:w="0" w:type="dxa"/>
              <w:right w:w="108" w:type="dxa"/>
            </w:tcMar>
            <w:vAlign w:val="center"/>
          </w:tcPr>
          <w:p w14:paraId="1CB9502F">
            <w:pPr>
              <w:spacing w:line="560" w:lineRule="exact"/>
              <w:ind w:firstLine="560" w:firstLineChars="200"/>
              <w:jc w:val="center"/>
              <w:rPr>
                <w:rFonts w:ascii="仿宋" w:hAnsi="仿宋" w:eastAsia="仿宋" w:cs="宋体"/>
                <w:sz w:val="28"/>
                <w:szCs w:val="28"/>
                <w:highlight w:val="none"/>
              </w:rPr>
            </w:pPr>
            <w:r>
              <w:rPr>
                <w:rFonts w:hint="eastAsia" w:ascii="仿宋" w:hAnsi="仿宋" w:eastAsia="仿宋" w:cs="宋体"/>
                <w:sz w:val="28"/>
                <w:szCs w:val="28"/>
                <w:highlight w:val="none"/>
              </w:rPr>
              <w:t>等次</w:t>
            </w:r>
          </w:p>
          <w:p w14:paraId="7A54AE29">
            <w:pPr>
              <w:spacing w:line="560" w:lineRule="exact"/>
              <w:rPr>
                <w:rFonts w:ascii="仿宋" w:hAnsi="仿宋" w:eastAsia="仿宋" w:cs="宋体"/>
                <w:sz w:val="28"/>
                <w:szCs w:val="28"/>
                <w:highlight w:val="none"/>
              </w:rPr>
            </w:pPr>
            <w:r>
              <w:rPr>
                <w:rFonts w:hint="eastAsia" w:ascii="仿宋" w:hAnsi="仿宋" w:eastAsia="仿宋" w:cs="宋体"/>
                <w:sz w:val="28"/>
                <w:szCs w:val="28"/>
                <w:highlight w:val="none"/>
              </w:rPr>
              <w:t>获奖级别</w:t>
            </w:r>
          </w:p>
        </w:tc>
        <w:tc>
          <w:tcPr>
            <w:tcW w:w="1340"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ACDFF4">
            <w:pPr>
              <w:spacing w:line="560" w:lineRule="exact"/>
              <w:jc w:val="center"/>
              <w:rPr>
                <w:rFonts w:ascii="仿宋" w:hAnsi="仿宋" w:eastAsia="仿宋" w:cs="宋体"/>
                <w:sz w:val="28"/>
                <w:szCs w:val="28"/>
                <w:highlight w:val="none"/>
              </w:rPr>
            </w:pPr>
            <w:r>
              <w:rPr>
                <w:rFonts w:hint="eastAsia" w:ascii="仿宋" w:hAnsi="仿宋" w:eastAsia="仿宋" w:cs="宋体"/>
                <w:sz w:val="28"/>
                <w:szCs w:val="28"/>
                <w:highlight w:val="none"/>
              </w:rPr>
              <w:t>一等奖</w:t>
            </w:r>
          </w:p>
        </w:tc>
        <w:tc>
          <w:tcPr>
            <w:tcW w:w="1276"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DBF2D1">
            <w:pPr>
              <w:spacing w:line="560" w:lineRule="exact"/>
              <w:jc w:val="center"/>
              <w:rPr>
                <w:rFonts w:ascii="仿宋" w:hAnsi="仿宋" w:eastAsia="仿宋" w:cs="宋体"/>
                <w:sz w:val="28"/>
                <w:szCs w:val="28"/>
                <w:highlight w:val="none"/>
              </w:rPr>
            </w:pPr>
            <w:r>
              <w:rPr>
                <w:rFonts w:hint="eastAsia" w:ascii="仿宋" w:hAnsi="仿宋" w:eastAsia="仿宋" w:cs="宋体"/>
                <w:sz w:val="28"/>
                <w:szCs w:val="28"/>
                <w:highlight w:val="none"/>
              </w:rPr>
              <w:t>二等奖</w:t>
            </w:r>
          </w:p>
        </w:tc>
        <w:tc>
          <w:tcPr>
            <w:tcW w:w="1275"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E115AB">
            <w:pPr>
              <w:spacing w:line="560" w:lineRule="exact"/>
              <w:jc w:val="center"/>
              <w:rPr>
                <w:rFonts w:ascii="仿宋" w:hAnsi="仿宋" w:eastAsia="仿宋" w:cs="宋体"/>
                <w:sz w:val="28"/>
                <w:szCs w:val="28"/>
                <w:highlight w:val="none"/>
              </w:rPr>
            </w:pPr>
            <w:r>
              <w:rPr>
                <w:rFonts w:hint="eastAsia" w:ascii="仿宋" w:hAnsi="仿宋" w:eastAsia="仿宋" w:cs="宋体"/>
                <w:sz w:val="28"/>
                <w:szCs w:val="28"/>
                <w:highlight w:val="none"/>
              </w:rPr>
              <w:t>三等奖</w:t>
            </w:r>
          </w:p>
        </w:tc>
        <w:tc>
          <w:tcPr>
            <w:tcW w:w="1481"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86CA63">
            <w:pPr>
              <w:spacing w:line="560" w:lineRule="exact"/>
              <w:jc w:val="center"/>
              <w:rPr>
                <w:rFonts w:ascii="仿宋" w:hAnsi="仿宋" w:eastAsia="仿宋" w:cs="宋体"/>
                <w:sz w:val="28"/>
                <w:szCs w:val="28"/>
                <w:highlight w:val="none"/>
              </w:rPr>
            </w:pPr>
            <w:r>
              <w:rPr>
                <w:rFonts w:hint="eastAsia" w:ascii="仿宋" w:hAnsi="仿宋" w:eastAsia="仿宋" w:cs="宋体"/>
                <w:sz w:val="28"/>
                <w:szCs w:val="28"/>
                <w:highlight w:val="none"/>
              </w:rPr>
              <w:t>优秀奖</w:t>
            </w:r>
          </w:p>
        </w:tc>
      </w:tr>
      <w:tr w14:paraId="04C9E381">
        <w:tblPrEx>
          <w:tblCellMar>
            <w:top w:w="0" w:type="dxa"/>
            <w:left w:w="0" w:type="dxa"/>
            <w:bottom w:w="0" w:type="dxa"/>
            <w:right w:w="0" w:type="dxa"/>
          </w:tblCellMar>
        </w:tblPrEx>
        <w:trPr>
          <w:trHeight w:val="376" w:hRule="atLeast"/>
          <w:jc w:val="center"/>
        </w:trPr>
        <w:tc>
          <w:tcPr>
            <w:tcW w:w="1759"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435E0AD">
            <w:pPr>
              <w:spacing w:line="560" w:lineRule="exact"/>
              <w:jc w:val="center"/>
              <w:rPr>
                <w:rFonts w:ascii="仿宋" w:hAnsi="仿宋" w:eastAsia="仿宋" w:cs="宋体"/>
                <w:sz w:val="28"/>
                <w:szCs w:val="28"/>
                <w:highlight w:val="none"/>
              </w:rPr>
            </w:pPr>
            <w:r>
              <w:rPr>
                <w:rFonts w:hint="eastAsia" w:ascii="仿宋" w:hAnsi="仿宋" w:eastAsia="仿宋" w:cs="宋体"/>
                <w:sz w:val="28"/>
                <w:szCs w:val="28"/>
                <w:highlight w:val="none"/>
              </w:rPr>
              <w:t>国家级</w:t>
            </w:r>
          </w:p>
        </w:tc>
        <w:tc>
          <w:tcPr>
            <w:tcW w:w="1340"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E97A6E">
            <w:pPr>
              <w:spacing w:line="500" w:lineRule="atLeast"/>
              <w:jc w:val="center"/>
              <w:rPr>
                <w:rFonts w:ascii="仿宋" w:hAnsi="仿宋" w:eastAsia="仿宋" w:cs="宋体"/>
                <w:sz w:val="28"/>
                <w:szCs w:val="28"/>
                <w:highlight w:val="none"/>
              </w:rPr>
            </w:pPr>
            <w:r>
              <w:rPr>
                <w:rFonts w:hint="eastAsia" w:ascii="仿宋" w:hAnsi="仿宋" w:eastAsia="仿宋"/>
                <w:sz w:val="28"/>
                <w:szCs w:val="28"/>
                <w:highlight w:val="none"/>
              </w:rPr>
              <w:t>200</w:t>
            </w:r>
          </w:p>
        </w:tc>
        <w:tc>
          <w:tcPr>
            <w:tcW w:w="1276"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D114C42">
            <w:pPr>
              <w:spacing w:line="500" w:lineRule="atLeast"/>
              <w:jc w:val="center"/>
              <w:rPr>
                <w:rFonts w:ascii="仿宋" w:hAnsi="仿宋" w:eastAsia="仿宋" w:cs="宋体"/>
                <w:sz w:val="28"/>
                <w:szCs w:val="28"/>
                <w:highlight w:val="none"/>
              </w:rPr>
            </w:pPr>
            <w:r>
              <w:rPr>
                <w:rFonts w:hint="eastAsia" w:ascii="仿宋" w:hAnsi="仿宋" w:eastAsia="仿宋"/>
                <w:sz w:val="28"/>
                <w:szCs w:val="28"/>
                <w:highlight w:val="none"/>
              </w:rPr>
              <w:t>150</w:t>
            </w:r>
          </w:p>
        </w:tc>
        <w:tc>
          <w:tcPr>
            <w:tcW w:w="1275"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53A10A">
            <w:pPr>
              <w:spacing w:line="500" w:lineRule="atLeast"/>
              <w:jc w:val="center"/>
              <w:rPr>
                <w:rFonts w:ascii="仿宋" w:hAnsi="仿宋" w:eastAsia="仿宋" w:cs="宋体"/>
                <w:sz w:val="28"/>
                <w:szCs w:val="28"/>
                <w:highlight w:val="none"/>
              </w:rPr>
            </w:pPr>
            <w:r>
              <w:rPr>
                <w:rFonts w:hint="eastAsia" w:ascii="仿宋" w:hAnsi="仿宋" w:eastAsia="仿宋"/>
                <w:sz w:val="28"/>
                <w:szCs w:val="28"/>
                <w:highlight w:val="none"/>
              </w:rPr>
              <w:t>100</w:t>
            </w:r>
          </w:p>
        </w:tc>
        <w:tc>
          <w:tcPr>
            <w:tcW w:w="1481"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tcPr>
          <w:p w14:paraId="1D6EF959">
            <w:pPr>
              <w:spacing w:line="500" w:lineRule="atLeast"/>
              <w:jc w:val="center"/>
              <w:rPr>
                <w:rFonts w:ascii="仿宋" w:hAnsi="仿宋" w:eastAsia="仿宋" w:cs="宋体"/>
                <w:sz w:val="28"/>
                <w:szCs w:val="28"/>
                <w:highlight w:val="none"/>
              </w:rPr>
            </w:pPr>
            <w:r>
              <w:rPr>
                <w:rFonts w:hint="eastAsia" w:ascii="仿宋" w:hAnsi="仿宋" w:eastAsia="仿宋"/>
                <w:sz w:val="28"/>
                <w:szCs w:val="28"/>
                <w:highlight w:val="none"/>
              </w:rPr>
              <w:t>80</w:t>
            </w:r>
          </w:p>
        </w:tc>
      </w:tr>
      <w:tr w14:paraId="3393DD86">
        <w:tblPrEx>
          <w:tblCellMar>
            <w:top w:w="0" w:type="dxa"/>
            <w:left w:w="0" w:type="dxa"/>
            <w:bottom w:w="0" w:type="dxa"/>
            <w:right w:w="0" w:type="dxa"/>
          </w:tblCellMar>
        </w:tblPrEx>
        <w:trPr>
          <w:trHeight w:val="402" w:hRule="atLeast"/>
          <w:jc w:val="center"/>
        </w:trPr>
        <w:tc>
          <w:tcPr>
            <w:tcW w:w="17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95C69F">
            <w:pPr>
              <w:spacing w:line="560" w:lineRule="exact"/>
              <w:jc w:val="center"/>
              <w:rPr>
                <w:rFonts w:ascii="仿宋" w:hAnsi="仿宋" w:eastAsia="仿宋" w:cs="宋体"/>
                <w:sz w:val="28"/>
                <w:szCs w:val="28"/>
                <w:highlight w:val="none"/>
              </w:rPr>
            </w:pPr>
            <w:r>
              <w:rPr>
                <w:rFonts w:hint="eastAsia" w:ascii="仿宋" w:hAnsi="仿宋" w:eastAsia="仿宋" w:cs="宋体"/>
                <w:sz w:val="28"/>
                <w:szCs w:val="28"/>
                <w:highlight w:val="none"/>
              </w:rPr>
              <w:t>省部级</w:t>
            </w:r>
          </w:p>
        </w:tc>
        <w:tc>
          <w:tcPr>
            <w:tcW w:w="13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6A5328">
            <w:pPr>
              <w:spacing w:line="500" w:lineRule="atLeast"/>
              <w:jc w:val="center"/>
              <w:rPr>
                <w:rFonts w:ascii="仿宋" w:hAnsi="仿宋" w:eastAsia="仿宋" w:cs="宋体"/>
                <w:sz w:val="28"/>
                <w:szCs w:val="28"/>
                <w:highlight w:val="none"/>
              </w:rPr>
            </w:pPr>
            <w:r>
              <w:rPr>
                <w:rFonts w:hint="eastAsia" w:ascii="仿宋" w:hAnsi="仿宋" w:eastAsia="仿宋"/>
                <w:sz w:val="28"/>
                <w:szCs w:val="28"/>
                <w:highlight w:val="none"/>
              </w:rPr>
              <w:t>100</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0D5DC8">
            <w:pPr>
              <w:spacing w:line="500" w:lineRule="atLeast"/>
              <w:jc w:val="center"/>
              <w:rPr>
                <w:rFonts w:ascii="仿宋" w:hAnsi="仿宋" w:eastAsia="仿宋" w:cs="宋体"/>
                <w:sz w:val="28"/>
                <w:szCs w:val="28"/>
                <w:highlight w:val="none"/>
              </w:rPr>
            </w:pPr>
            <w:r>
              <w:rPr>
                <w:rFonts w:hint="eastAsia" w:ascii="仿宋" w:hAnsi="仿宋" w:eastAsia="仿宋"/>
                <w:sz w:val="28"/>
                <w:szCs w:val="28"/>
                <w:highlight w:val="none"/>
              </w:rPr>
              <w:t>70</w:t>
            </w: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D2FDF7">
            <w:pPr>
              <w:spacing w:line="500" w:lineRule="atLeast"/>
              <w:jc w:val="center"/>
              <w:rPr>
                <w:rFonts w:ascii="仿宋" w:hAnsi="仿宋" w:eastAsia="仿宋" w:cs="宋体"/>
                <w:sz w:val="28"/>
                <w:szCs w:val="28"/>
                <w:highlight w:val="none"/>
              </w:rPr>
            </w:pPr>
            <w:r>
              <w:rPr>
                <w:rFonts w:hint="eastAsia" w:ascii="仿宋" w:hAnsi="仿宋" w:eastAsia="仿宋"/>
                <w:sz w:val="28"/>
                <w:szCs w:val="28"/>
                <w:highlight w:val="none"/>
              </w:rPr>
              <w:t>40</w:t>
            </w:r>
          </w:p>
        </w:tc>
        <w:tc>
          <w:tcPr>
            <w:tcW w:w="14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713D344">
            <w:pPr>
              <w:spacing w:line="500" w:lineRule="atLeast"/>
              <w:jc w:val="center"/>
              <w:rPr>
                <w:rFonts w:ascii="仿宋" w:hAnsi="仿宋" w:eastAsia="仿宋" w:cs="宋体"/>
                <w:sz w:val="28"/>
                <w:szCs w:val="28"/>
                <w:highlight w:val="none"/>
              </w:rPr>
            </w:pPr>
            <w:r>
              <w:rPr>
                <w:rFonts w:hint="eastAsia" w:ascii="仿宋" w:hAnsi="仿宋" w:eastAsia="仿宋"/>
                <w:sz w:val="28"/>
                <w:szCs w:val="28"/>
                <w:highlight w:val="none"/>
              </w:rPr>
              <w:t>20</w:t>
            </w:r>
          </w:p>
        </w:tc>
      </w:tr>
      <w:tr w14:paraId="23329899">
        <w:tblPrEx>
          <w:tblCellMar>
            <w:top w:w="0" w:type="dxa"/>
            <w:left w:w="0" w:type="dxa"/>
            <w:bottom w:w="0" w:type="dxa"/>
            <w:right w:w="0" w:type="dxa"/>
          </w:tblCellMar>
        </w:tblPrEx>
        <w:trPr>
          <w:trHeight w:val="387" w:hRule="atLeast"/>
          <w:jc w:val="center"/>
        </w:trPr>
        <w:tc>
          <w:tcPr>
            <w:tcW w:w="17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B223ED">
            <w:pPr>
              <w:spacing w:line="560" w:lineRule="exact"/>
              <w:jc w:val="center"/>
              <w:rPr>
                <w:rFonts w:ascii="仿宋" w:hAnsi="仿宋" w:eastAsia="仿宋" w:cs="宋体"/>
                <w:sz w:val="28"/>
                <w:szCs w:val="28"/>
                <w:highlight w:val="none"/>
              </w:rPr>
            </w:pPr>
            <w:r>
              <w:rPr>
                <w:rFonts w:hint="eastAsia" w:ascii="仿宋" w:hAnsi="仿宋" w:eastAsia="仿宋" w:cs="宋体"/>
                <w:sz w:val="28"/>
                <w:szCs w:val="28"/>
                <w:highlight w:val="none"/>
              </w:rPr>
              <w:t>市厅级</w:t>
            </w:r>
          </w:p>
        </w:tc>
        <w:tc>
          <w:tcPr>
            <w:tcW w:w="13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C433FA">
            <w:pPr>
              <w:spacing w:line="500" w:lineRule="atLeast"/>
              <w:jc w:val="center"/>
              <w:rPr>
                <w:rFonts w:ascii="仿宋" w:hAnsi="仿宋" w:eastAsia="仿宋" w:cs="宋体"/>
                <w:sz w:val="28"/>
                <w:szCs w:val="28"/>
                <w:highlight w:val="none"/>
              </w:rPr>
            </w:pPr>
            <w:r>
              <w:rPr>
                <w:rFonts w:hint="eastAsia" w:ascii="仿宋" w:hAnsi="仿宋" w:eastAsia="仿宋"/>
                <w:sz w:val="28"/>
                <w:szCs w:val="28"/>
                <w:highlight w:val="none"/>
              </w:rPr>
              <w:t>60</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D82108">
            <w:pPr>
              <w:spacing w:line="500" w:lineRule="atLeast"/>
              <w:jc w:val="center"/>
              <w:rPr>
                <w:rFonts w:ascii="仿宋" w:hAnsi="仿宋" w:eastAsia="仿宋" w:cs="宋体"/>
                <w:sz w:val="28"/>
                <w:szCs w:val="28"/>
                <w:highlight w:val="none"/>
              </w:rPr>
            </w:pPr>
            <w:r>
              <w:rPr>
                <w:rFonts w:hint="eastAsia" w:ascii="仿宋" w:hAnsi="仿宋" w:eastAsia="仿宋"/>
                <w:sz w:val="28"/>
                <w:szCs w:val="28"/>
                <w:highlight w:val="none"/>
              </w:rPr>
              <w:t>40</w:t>
            </w: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D8423E">
            <w:pPr>
              <w:spacing w:line="500" w:lineRule="atLeast"/>
              <w:jc w:val="center"/>
              <w:rPr>
                <w:rFonts w:ascii="仿宋" w:hAnsi="仿宋" w:eastAsia="仿宋" w:cs="宋体"/>
                <w:sz w:val="28"/>
                <w:szCs w:val="28"/>
                <w:highlight w:val="none"/>
              </w:rPr>
            </w:pPr>
            <w:r>
              <w:rPr>
                <w:rFonts w:hint="eastAsia" w:ascii="仿宋" w:hAnsi="仿宋" w:eastAsia="仿宋"/>
                <w:sz w:val="28"/>
                <w:szCs w:val="28"/>
                <w:highlight w:val="none"/>
              </w:rPr>
              <w:t>20</w:t>
            </w:r>
          </w:p>
        </w:tc>
        <w:tc>
          <w:tcPr>
            <w:tcW w:w="14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B48B566">
            <w:pPr>
              <w:spacing w:line="500" w:lineRule="atLeast"/>
              <w:jc w:val="center"/>
              <w:rPr>
                <w:rFonts w:ascii="仿宋" w:hAnsi="仿宋" w:eastAsia="仿宋" w:cs="宋体"/>
                <w:sz w:val="28"/>
                <w:szCs w:val="28"/>
                <w:highlight w:val="none"/>
              </w:rPr>
            </w:pPr>
            <w:r>
              <w:rPr>
                <w:rFonts w:hint="eastAsia" w:ascii="仿宋" w:hAnsi="仿宋" w:eastAsia="仿宋"/>
                <w:sz w:val="28"/>
                <w:szCs w:val="28"/>
                <w:highlight w:val="none"/>
              </w:rPr>
              <w:t>10</w:t>
            </w:r>
          </w:p>
        </w:tc>
      </w:tr>
      <w:tr w14:paraId="16C0B471">
        <w:tblPrEx>
          <w:tblCellMar>
            <w:top w:w="0" w:type="dxa"/>
            <w:left w:w="0" w:type="dxa"/>
            <w:bottom w:w="0" w:type="dxa"/>
            <w:right w:w="0" w:type="dxa"/>
          </w:tblCellMar>
        </w:tblPrEx>
        <w:trPr>
          <w:trHeight w:val="387" w:hRule="atLeast"/>
          <w:jc w:val="center"/>
        </w:trPr>
        <w:tc>
          <w:tcPr>
            <w:tcW w:w="17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DC0C9F">
            <w:pPr>
              <w:spacing w:line="560" w:lineRule="exact"/>
              <w:jc w:val="center"/>
              <w:rPr>
                <w:rFonts w:ascii="仿宋" w:hAnsi="仿宋" w:eastAsia="仿宋" w:cs="宋体"/>
                <w:sz w:val="28"/>
                <w:szCs w:val="28"/>
                <w:highlight w:val="none"/>
              </w:rPr>
            </w:pPr>
            <w:r>
              <w:rPr>
                <w:rFonts w:hint="eastAsia" w:ascii="仿宋" w:hAnsi="仿宋" w:eastAsia="仿宋" w:cs="宋体"/>
                <w:sz w:val="28"/>
                <w:szCs w:val="28"/>
                <w:highlight w:val="none"/>
              </w:rPr>
              <w:t>校级</w:t>
            </w:r>
          </w:p>
        </w:tc>
        <w:tc>
          <w:tcPr>
            <w:tcW w:w="13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BAA68C">
            <w:pPr>
              <w:spacing w:line="500" w:lineRule="atLeast"/>
              <w:jc w:val="center"/>
              <w:rPr>
                <w:rFonts w:ascii="仿宋" w:hAnsi="仿宋" w:eastAsia="仿宋" w:cs="宋体"/>
                <w:sz w:val="28"/>
                <w:szCs w:val="28"/>
                <w:highlight w:val="none"/>
              </w:rPr>
            </w:pPr>
            <w:r>
              <w:rPr>
                <w:rFonts w:hint="eastAsia" w:ascii="仿宋" w:hAnsi="仿宋" w:eastAsia="仿宋"/>
                <w:sz w:val="28"/>
                <w:szCs w:val="28"/>
                <w:highlight w:val="none"/>
              </w:rPr>
              <w:t>30</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7E77AA">
            <w:pPr>
              <w:spacing w:line="500" w:lineRule="atLeast"/>
              <w:jc w:val="center"/>
              <w:rPr>
                <w:rFonts w:ascii="仿宋" w:hAnsi="仿宋" w:eastAsia="仿宋" w:cs="宋体"/>
                <w:sz w:val="28"/>
                <w:szCs w:val="28"/>
                <w:highlight w:val="none"/>
              </w:rPr>
            </w:pPr>
            <w:r>
              <w:rPr>
                <w:rFonts w:hint="eastAsia" w:ascii="仿宋" w:hAnsi="仿宋" w:eastAsia="仿宋" w:cs="宋体"/>
                <w:sz w:val="28"/>
                <w:szCs w:val="28"/>
                <w:highlight w:val="none"/>
              </w:rPr>
              <w:t>20</w:t>
            </w: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182DF8">
            <w:pPr>
              <w:spacing w:line="500" w:lineRule="atLeast"/>
              <w:jc w:val="center"/>
              <w:rPr>
                <w:rFonts w:ascii="仿宋" w:hAnsi="仿宋" w:eastAsia="仿宋" w:cs="宋体"/>
                <w:sz w:val="28"/>
                <w:szCs w:val="28"/>
                <w:highlight w:val="none"/>
              </w:rPr>
            </w:pPr>
            <w:r>
              <w:rPr>
                <w:rFonts w:hint="eastAsia" w:ascii="仿宋" w:hAnsi="仿宋" w:eastAsia="仿宋"/>
                <w:sz w:val="28"/>
                <w:szCs w:val="28"/>
                <w:highlight w:val="none"/>
              </w:rPr>
              <w:t>10</w:t>
            </w:r>
          </w:p>
        </w:tc>
        <w:tc>
          <w:tcPr>
            <w:tcW w:w="14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BA76B23">
            <w:pPr>
              <w:spacing w:line="500" w:lineRule="atLeast"/>
              <w:jc w:val="center"/>
              <w:rPr>
                <w:rFonts w:ascii="仿宋" w:hAnsi="仿宋" w:eastAsia="仿宋" w:cs="宋体"/>
                <w:sz w:val="28"/>
                <w:szCs w:val="28"/>
                <w:highlight w:val="none"/>
              </w:rPr>
            </w:pPr>
            <w:r>
              <w:rPr>
                <w:rFonts w:hint="eastAsia" w:ascii="仿宋" w:hAnsi="仿宋" w:eastAsia="仿宋"/>
                <w:sz w:val="28"/>
                <w:szCs w:val="28"/>
                <w:highlight w:val="none"/>
              </w:rPr>
              <w:t>5</w:t>
            </w:r>
          </w:p>
        </w:tc>
      </w:tr>
      <w:tr w14:paraId="146285B0">
        <w:tblPrEx>
          <w:tblCellMar>
            <w:top w:w="0" w:type="dxa"/>
            <w:left w:w="0" w:type="dxa"/>
            <w:bottom w:w="0" w:type="dxa"/>
            <w:right w:w="0" w:type="dxa"/>
          </w:tblCellMar>
        </w:tblPrEx>
        <w:trPr>
          <w:trHeight w:val="352" w:hRule="atLeast"/>
          <w:jc w:val="center"/>
        </w:trPr>
        <w:tc>
          <w:tcPr>
            <w:tcW w:w="17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09BF82">
            <w:pPr>
              <w:spacing w:line="560" w:lineRule="exact"/>
              <w:jc w:val="center"/>
              <w:rPr>
                <w:rFonts w:ascii="仿宋" w:hAnsi="仿宋" w:eastAsia="仿宋" w:cs="宋体"/>
                <w:sz w:val="28"/>
                <w:szCs w:val="28"/>
                <w:highlight w:val="none"/>
              </w:rPr>
            </w:pPr>
            <w:r>
              <w:rPr>
                <w:rFonts w:hint="eastAsia" w:ascii="仿宋" w:hAnsi="仿宋" w:eastAsia="仿宋" w:cs="宋体"/>
                <w:sz w:val="28"/>
                <w:szCs w:val="28"/>
                <w:highlight w:val="none"/>
              </w:rPr>
              <w:t>院级</w:t>
            </w:r>
          </w:p>
        </w:tc>
        <w:tc>
          <w:tcPr>
            <w:tcW w:w="13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C5031D">
            <w:pPr>
              <w:spacing w:line="560" w:lineRule="exact"/>
              <w:jc w:val="center"/>
              <w:rPr>
                <w:rFonts w:ascii="仿宋" w:hAnsi="仿宋" w:eastAsia="仿宋" w:cs="宋体"/>
                <w:sz w:val="28"/>
                <w:szCs w:val="28"/>
                <w:highlight w:val="none"/>
              </w:rPr>
            </w:pPr>
            <w:r>
              <w:rPr>
                <w:rFonts w:hint="eastAsia" w:ascii="仿宋" w:hAnsi="仿宋" w:eastAsia="仿宋" w:cs="宋体"/>
                <w:sz w:val="28"/>
                <w:szCs w:val="28"/>
                <w:highlight w:val="none"/>
              </w:rPr>
              <w:t>20</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1CDC33">
            <w:pPr>
              <w:spacing w:line="560" w:lineRule="exact"/>
              <w:jc w:val="center"/>
              <w:rPr>
                <w:rFonts w:ascii="仿宋" w:hAnsi="仿宋" w:eastAsia="仿宋" w:cs="宋体"/>
                <w:sz w:val="28"/>
                <w:szCs w:val="28"/>
                <w:highlight w:val="none"/>
              </w:rPr>
            </w:pPr>
            <w:r>
              <w:rPr>
                <w:rFonts w:hint="eastAsia" w:ascii="仿宋" w:hAnsi="仿宋" w:eastAsia="仿宋" w:cs="宋体"/>
                <w:sz w:val="28"/>
                <w:szCs w:val="28"/>
                <w:highlight w:val="none"/>
              </w:rPr>
              <w:t>10</w:t>
            </w:r>
          </w:p>
        </w:tc>
        <w:tc>
          <w:tcPr>
            <w:tcW w:w="12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B0E018">
            <w:pPr>
              <w:spacing w:line="560" w:lineRule="exact"/>
              <w:jc w:val="center"/>
              <w:rPr>
                <w:rFonts w:ascii="仿宋" w:hAnsi="仿宋" w:eastAsia="仿宋" w:cs="宋体"/>
                <w:sz w:val="28"/>
                <w:szCs w:val="28"/>
                <w:highlight w:val="none"/>
              </w:rPr>
            </w:pPr>
            <w:r>
              <w:rPr>
                <w:rFonts w:hint="eastAsia" w:ascii="仿宋" w:hAnsi="仿宋" w:eastAsia="仿宋" w:cs="宋体"/>
                <w:sz w:val="28"/>
                <w:szCs w:val="28"/>
                <w:highlight w:val="none"/>
              </w:rPr>
              <w:t>5</w:t>
            </w:r>
          </w:p>
        </w:tc>
        <w:tc>
          <w:tcPr>
            <w:tcW w:w="14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1A7D58">
            <w:pPr>
              <w:spacing w:line="560" w:lineRule="exact"/>
              <w:jc w:val="center"/>
              <w:rPr>
                <w:rFonts w:ascii="仿宋" w:hAnsi="仿宋" w:eastAsia="仿宋" w:cs="宋体"/>
                <w:sz w:val="28"/>
                <w:szCs w:val="28"/>
                <w:highlight w:val="none"/>
              </w:rPr>
            </w:pPr>
            <w:r>
              <w:rPr>
                <w:rFonts w:hint="eastAsia" w:ascii="仿宋" w:hAnsi="仿宋" w:eastAsia="仿宋" w:cs="宋体"/>
                <w:sz w:val="28"/>
                <w:szCs w:val="28"/>
                <w:highlight w:val="none"/>
              </w:rPr>
              <w:t>3</w:t>
            </w:r>
          </w:p>
        </w:tc>
      </w:tr>
    </w:tbl>
    <w:p w14:paraId="35AF505F">
      <w:pPr>
        <w:spacing w:afterLines="50"/>
        <w:ind w:firstLine="560" w:firstLineChars="200"/>
        <w:rPr>
          <w:rFonts w:ascii="黑体" w:hAnsi="黑体" w:eastAsia="黑体" w:cs="仿宋"/>
          <w:b/>
          <w:bCs/>
          <w:sz w:val="32"/>
          <w:szCs w:val="32"/>
          <w:highlight w:val="none"/>
        </w:rPr>
      </w:pPr>
      <w:r>
        <w:rPr>
          <w:rFonts w:hint="eastAsia" w:ascii="Times New Roman" w:hAnsi="Times New Roman" w:eastAsia="仿宋"/>
          <w:sz w:val="28"/>
          <w:szCs w:val="28"/>
          <w:highlight w:val="none"/>
        </w:rPr>
        <w:t>注：除上述提到的学科赛事，学生提交的其他竞赛类奖励是否为学科竞赛由学院进行认定；以团体获得的奖励，有多个排名的，第一排名人得分按该获奖项目应得分值计算，其他获奖人员得分减半计算；无排名的团队项目，所有获奖人员分值减半计算。</w:t>
      </w:r>
      <w:r>
        <w:rPr>
          <w:rFonts w:ascii="Times New Roman" w:hAnsi="Times New Roman" w:eastAsia="仿宋"/>
          <w:sz w:val="28"/>
          <w:szCs w:val="28"/>
          <w:highlight w:val="none"/>
        </w:rPr>
        <w:t>以上所获奖项均须以</w:t>
      </w:r>
      <w:r>
        <w:rPr>
          <w:rFonts w:hint="eastAsia" w:ascii="Times New Roman" w:hAnsi="Times New Roman" w:eastAsia="仿宋"/>
          <w:sz w:val="28"/>
          <w:szCs w:val="28"/>
          <w:highlight w:val="none"/>
        </w:rPr>
        <w:t>贵州大学、</w:t>
      </w:r>
      <w:r>
        <w:rPr>
          <w:rFonts w:ascii="Times New Roman" w:hAnsi="Times New Roman" w:eastAsia="仿宋"/>
          <w:sz w:val="28"/>
          <w:szCs w:val="28"/>
          <w:highlight w:val="none"/>
        </w:rPr>
        <w:t>贵州大学</w:t>
      </w:r>
      <w:r>
        <w:rPr>
          <w:rFonts w:hint="eastAsia" w:ascii="Times New Roman" w:hAnsi="Times New Roman" w:eastAsia="仿宋"/>
          <w:sz w:val="28"/>
          <w:szCs w:val="28"/>
          <w:highlight w:val="none"/>
        </w:rPr>
        <w:t>公共管理</w:t>
      </w:r>
      <w:r>
        <w:rPr>
          <w:rFonts w:ascii="Times New Roman" w:hAnsi="Times New Roman" w:eastAsia="仿宋"/>
          <w:sz w:val="28"/>
          <w:szCs w:val="28"/>
          <w:highlight w:val="none"/>
        </w:rPr>
        <w:t>学院为第一署名单位。</w:t>
      </w:r>
    </w:p>
    <w:p w14:paraId="61F2A3C8">
      <w:pPr>
        <w:spacing w:line="560" w:lineRule="exact"/>
        <w:jc w:val="center"/>
        <w:rPr>
          <w:rFonts w:ascii="黑体" w:hAnsi="黑体" w:eastAsia="黑体" w:cs="仿宋"/>
          <w:b/>
          <w:bCs/>
          <w:sz w:val="32"/>
          <w:szCs w:val="32"/>
          <w:highlight w:val="none"/>
        </w:rPr>
      </w:pPr>
      <w:r>
        <w:rPr>
          <w:rFonts w:hint="eastAsia" w:ascii="黑体" w:hAnsi="黑体" w:eastAsia="黑体" w:cs="仿宋"/>
          <w:b/>
          <w:bCs/>
          <w:sz w:val="32"/>
          <w:szCs w:val="32"/>
          <w:highlight w:val="none"/>
        </w:rPr>
        <w:t>第七章 体育测评分数</w:t>
      </w:r>
    </w:p>
    <w:p w14:paraId="6C46F1BA">
      <w:pPr>
        <w:spacing w:beforeLines="50" w:line="560" w:lineRule="exact"/>
        <w:ind w:firstLine="643" w:firstLineChars="200"/>
        <w:rPr>
          <w:rStyle w:val="10"/>
          <w:rFonts w:ascii="仿宋_GB2312" w:hAnsi="宋体" w:eastAsia="仿宋_GB2312"/>
          <w:color w:val="000000"/>
          <w:sz w:val="32"/>
          <w:szCs w:val="32"/>
          <w:highlight w:val="none"/>
        </w:rPr>
      </w:pPr>
      <w:r>
        <w:rPr>
          <w:rFonts w:hint="eastAsia" w:ascii="仿宋_GB2312" w:hAnsi="仿宋" w:eastAsia="仿宋_GB2312" w:cs="仿宋"/>
          <w:b/>
          <w:sz w:val="32"/>
          <w:szCs w:val="32"/>
          <w:highlight w:val="none"/>
        </w:rPr>
        <w:t xml:space="preserve">第二十一条 </w:t>
      </w:r>
      <w:r>
        <w:rPr>
          <w:rStyle w:val="10"/>
          <w:rFonts w:ascii="仿宋_GB2312" w:hAnsi="宋体" w:eastAsia="仿宋_GB2312"/>
          <w:color w:val="000000"/>
          <w:sz w:val="32"/>
          <w:szCs w:val="32"/>
          <w:highlight w:val="none"/>
        </w:rPr>
        <w:t>体育测评主要考核学生体质健康状况和体育运动及锻炼情况。</w:t>
      </w:r>
      <w:r>
        <w:rPr>
          <w:rFonts w:hint="eastAsia" w:ascii="仿宋_GB2312" w:hAnsi="仿宋" w:eastAsia="仿宋_GB2312" w:cs="仿宋"/>
          <w:sz w:val="32"/>
          <w:szCs w:val="32"/>
          <w:highlight w:val="none"/>
        </w:rPr>
        <w:t>体育满分为100分，基础分70分。奖励分累计不超过</w:t>
      </w:r>
      <w:r>
        <w:rPr>
          <w:rFonts w:ascii="仿宋_GB2312" w:hAnsi="仿宋" w:eastAsia="仿宋_GB2312" w:cs="仿宋"/>
          <w:sz w:val="32"/>
          <w:szCs w:val="32"/>
          <w:highlight w:val="none"/>
        </w:rPr>
        <w:t>30</w:t>
      </w:r>
      <w:r>
        <w:rPr>
          <w:rFonts w:hint="eastAsia" w:ascii="仿宋_GB2312" w:hAnsi="仿宋" w:eastAsia="仿宋_GB2312" w:cs="仿宋"/>
          <w:sz w:val="32"/>
          <w:szCs w:val="32"/>
          <w:highlight w:val="none"/>
        </w:rPr>
        <w:t>分，具体计分方法如下：</w:t>
      </w:r>
    </w:p>
    <w:p w14:paraId="58729B5A">
      <w:pPr>
        <w:spacing w:beforeLines="50" w:line="560" w:lineRule="exact"/>
        <w:ind w:firstLine="640" w:firstLineChars="200"/>
        <w:rPr>
          <w:rStyle w:val="10"/>
          <w:rFonts w:ascii="仿宋_GB2312" w:hAnsi="宋体" w:eastAsia="仿宋_GB2312"/>
          <w:color w:val="000000"/>
          <w:sz w:val="32"/>
          <w:szCs w:val="32"/>
          <w:highlight w:val="none"/>
        </w:rPr>
      </w:pPr>
      <w:r>
        <w:rPr>
          <w:rStyle w:val="10"/>
          <w:rFonts w:hint="eastAsia" w:ascii="仿宋_GB2312" w:hAnsi="宋体" w:eastAsia="仿宋_GB2312"/>
          <w:color w:val="000000"/>
          <w:sz w:val="32"/>
          <w:szCs w:val="32"/>
          <w:highlight w:val="none"/>
        </w:rPr>
        <w:t>体育分=基础分+奖励分-扣分</w:t>
      </w:r>
    </w:p>
    <w:p w14:paraId="0592B77C">
      <w:pPr>
        <w:spacing w:line="560" w:lineRule="exact"/>
        <w:ind w:firstLine="640" w:firstLineChars="200"/>
        <w:rPr>
          <w:rFonts w:ascii="仿宋_GB2312" w:hAnsi="宋体" w:eastAsia="仿宋_GB2312"/>
          <w:color w:val="000000"/>
          <w:sz w:val="32"/>
          <w:szCs w:val="32"/>
          <w:highlight w:val="none"/>
        </w:rPr>
      </w:pPr>
      <w:r>
        <w:rPr>
          <w:rFonts w:ascii="仿宋_GB2312" w:hAnsi="宋体" w:eastAsia="仿宋_GB2312"/>
          <w:color w:val="000000"/>
          <w:sz w:val="32"/>
          <w:szCs w:val="32"/>
          <w:highlight w:val="none"/>
        </w:rPr>
        <w:t>1</w:t>
      </w:r>
      <w:r>
        <w:rPr>
          <w:rFonts w:hint="eastAsia" w:ascii="仿宋_GB2312" w:hAnsi="宋体" w:eastAsia="仿宋_GB2312"/>
          <w:color w:val="000000"/>
          <w:sz w:val="32"/>
          <w:szCs w:val="32"/>
          <w:highlight w:val="none"/>
        </w:rPr>
        <w:t>.</w:t>
      </w:r>
      <w:r>
        <w:rPr>
          <w:rFonts w:ascii="仿宋_GB2312" w:hAnsi="宋体" w:eastAsia="仿宋_GB2312"/>
          <w:color w:val="000000"/>
          <w:sz w:val="32"/>
          <w:szCs w:val="32"/>
          <w:highlight w:val="none"/>
        </w:rPr>
        <w:t xml:space="preserve"> </w:t>
      </w:r>
      <w:r>
        <w:rPr>
          <w:rStyle w:val="10"/>
          <w:rFonts w:ascii="仿宋_GB2312" w:hAnsi="宋体" w:eastAsia="仿宋_GB2312"/>
          <w:color w:val="000000"/>
          <w:sz w:val="32"/>
          <w:szCs w:val="32"/>
          <w:highlight w:val="none"/>
        </w:rPr>
        <w:t>积极参加院及班级体育活动者每次</w:t>
      </w:r>
      <w:r>
        <w:rPr>
          <w:rStyle w:val="10"/>
          <w:rFonts w:hint="eastAsia" w:ascii="仿宋_GB2312" w:hAnsi="宋体" w:eastAsia="仿宋_GB2312"/>
          <w:color w:val="000000"/>
          <w:sz w:val="32"/>
          <w:szCs w:val="32"/>
          <w:highlight w:val="none"/>
        </w:rPr>
        <w:t>5</w:t>
      </w:r>
      <w:r>
        <w:rPr>
          <w:rStyle w:val="10"/>
          <w:rFonts w:ascii="仿宋_GB2312" w:hAnsi="宋体" w:eastAsia="仿宋_GB2312"/>
          <w:color w:val="000000"/>
          <w:sz w:val="32"/>
          <w:szCs w:val="32"/>
          <w:highlight w:val="none"/>
        </w:rPr>
        <w:t>分，</w:t>
      </w:r>
      <w:r>
        <w:rPr>
          <w:rStyle w:val="10"/>
          <w:rFonts w:hint="eastAsia" w:ascii="仿宋_GB2312" w:hAnsi="宋体" w:eastAsia="仿宋_GB2312"/>
          <w:color w:val="000000"/>
          <w:sz w:val="32"/>
          <w:szCs w:val="32"/>
          <w:highlight w:val="none"/>
        </w:rPr>
        <w:t>代表学院参加校级体育活动每次8分</w:t>
      </w:r>
      <w:r>
        <w:rPr>
          <w:rStyle w:val="10"/>
          <w:rFonts w:ascii="仿宋_GB2312" w:hAnsi="宋体" w:eastAsia="仿宋_GB2312"/>
          <w:color w:val="000000"/>
          <w:sz w:val="32"/>
          <w:szCs w:val="32"/>
          <w:highlight w:val="none"/>
        </w:rPr>
        <w:t>。</w:t>
      </w:r>
    </w:p>
    <w:p w14:paraId="52F2DFBE">
      <w:pPr>
        <w:spacing w:line="560" w:lineRule="exact"/>
        <w:ind w:firstLine="640" w:firstLineChars="200"/>
        <w:rPr>
          <w:rFonts w:ascii="仿宋" w:hAnsi="仿宋" w:eastAsia="仿宋" w:cs="仿宋"/>
          <w:sz w:val="32"/>
          <w:szCs w:val="32"/>
          <w:highlight w:val="none"/>
        </w:rPr>
      </w:pPr>
      <w:r>
        <w:rPr>
          <w:rFonts w:ascii="仿宋" w:hAnsi="仿宋" w:eastAsia="仿宋" w:cs="仿宋"/>
          <w:sz w:val="32"/>
          <w:szCs w:val="32"/>
          <w:highlight w:val="none"/>
        </w:rPr>
        <w:t>2</w:t>
      </w:r>
      <w:r>
        <w:rPr>
          <w:rFonts w:hint="eastAsia" w:ascii="仿宋" w:hAnsi="仿宋" w:eastAsia="仿宋" w:cs="仿宋"/>
          <w:sz w:val="32"/>
          <w:szCs w:val="32"/>
          <w:highlight w:val="none"/>
        </w:rPr>
        <w:t>.带头参加由学校、学院或班级等组织的体育活动并获得奖项；在国家、省、学校和学院举行的体育活动中，代表学校或培养单位参加所获得奖励；活动级别加分标准如下：</w:t>
      </w:r>
    </w:p>
    <w:p w14:paraId="3CF6F02C">
      <w:pPr>
        <w:spacing w:line="500" w:lineRule="atLeast"/>
        <w:jc w:val="center"/>
        <w:rPr>
          <w:rFonts w:ascii="仿宋_GB2312" w:hAnsi="仿宋" w:eastAsia="仿宋_GB2312" w:cs="仿宋"/>
          <w:b/>
          <w:sz w:val="28"/>
          <w:szCs w:val="32"/>
          <w:highlight w:val="none"/>
        </w:rPr>
      </w:pPr>
      <w:r>
        <w:rPr>
          <w:rFonts w:hint="eastAsia" w:ascii="仿宋_GB2312" w:hAnsi="仿宋" w:eastAsia="仿宋_GB2312" w:cs="仿宋"/>
          <w:b/>
          <w:sz w:val="28"/>
          <w:szCs w:val="32"/>
          <w:highlight w:val="none"/>
        </w:rPr>
        <w:t>体育类活动获奖评分标准（单位：分/项）</w:t>
      </w:r>
    </w:p>
    <w:tbl>
      <w:tblPr>
        <w:tblStyle w:val="6"/>
        <w:tblpPr w:leftFromText="180" w:rightFromText="180" w:vertAnchor="text" w:horzAnchor="page" w:tblpX="2041" w:tblpY="286"/>
        <w:tblOverlap w:val="never"/>
        <w:tblW w:w="8036" w:type="dxa"/>
        <w:tblInd w:w="0" w:type="dxa"/>
        <w:tblLayout w:type="fixed"/>
        <w:tblCellMar>
          <w:top w:w="0" w:type="dxa"/>
          <w:left w:w="0" w:type="dxa"/>
          <w:bottom w:w="0" w:type="dxa"/>
          <w:right w:w="0" w:type="dxa"/>
        </w:tblCellMar>
      </w:tblPr>
      <w:tblGrid>
        <w:gridCol w:w="1918"/>
        <w:gridCol w:w="1408"/>
        <w:gridCol w:w="1545"/>
        <w:gridCol w:w="1575"/>
        <w:gridCol w:w="1590"/>
      </w:tblGrid>
      <w:tr w14:paraId="2E3F647B">
        <w:tblPrEx>
          <w:tblCellMar>
            <w:top w:w="0" w:type="dxa"/>
            <w:left w:w="0" w:type="dxa"/>
            <w:bottom w:w="0" w:type="dxa"/>
            <w:right w:w="0" w:type="dxa"/>
          </w:tblCellMar>
        </w:tblPrEx>
        <w:trPr>
          <w:trHeight w:val="575" w:hRule="atLeast"/>
        </w:trPr>
        <w:tc>
          <w:tcPr>
            <w:tcW w:w="1918" w:type="dxa"/>
            <w:tcBorders>
              <w:top w:val="single" w:color="auto" w:sz="8" w:space="0"/>
              <w:left w:val="single" w:color="auto" w:sz="4" w:space="0"/>
              <w:bottom w:val="single" w:color="auto" w:sz="4" w:space="0"/>
              <w:right w:val="single" w:color="auto" w:sz="4" w:space="0"/>
              <w:tl2br w:val="single" w:color="auto" w:sz="4" w:space="0"/>
            </w:tcBorders>
            <w:tcMar>
              <w:top w:w="0" w:type="dxa"/>
              <w:left w:w="108" w:type="dxa"/>
              <w:bottom w:w="0" w:type="dxa"/>
              <w:right w:w="108" w:type="dxa"/>
            </w:tcMar>
            <w:vAlign w:val="center"/>
          </w:tcPr>
          <w:p w14:paraId="324FFA8C">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 等次</w:t>
            </w:r>
          </w:p>
          <w:p w14:paraId="4F91C140">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获奖级别</w:t>
            </w:r>
          </w:p>
        </w:tc>
        <w:tc>
          <w:tcPr>
            <w:tcW w:w="1408"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4A8C68">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一等奖</w:t>
            </w:r>
          </w:p>
        </w:tc>
        <w:tc>
          <w:tcPr>
            <w:tcW w:w="1545"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6A7F81">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二等奖</w:t>
            </w:r>
          </w:p>
        </w:tc>
        <w:tc>
          <w:tcPr>
            <w:tcW w:w="1575"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F532B1">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三等奖</w:t>
            </w:r>
          </w:p>
        </w:tc>
        <w:tc>
          <w:tcPr>
            <w:tcW w:w="1590"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D60972">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优秀奖</w:t>
            </w:r>
          </w:p>
        </w:tc>
      </w:tr>
      <w:tr w14:paraId="65D7773F">
        <w:tblPrEx>
          <w:tblCellMar>
            <w:top w:w="0" w:type="dxa"/>
            <w:left w:w="0" w:type="dxa"/>
            <w:bottom w:w="0" w:type="dxa"/>
            <w:right w:w="0" w:type="dxa"/>
          </w:tblCellMar>
        </w:tblPrEx>
        <w:trPr>
          <w:trHeight w:val="361" w:hRule="atLeast"/>
        </w:trPr>
        <w:tc>
          <w:tcPr>
            <w:tcW w:w="1918"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4E479A">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国际级</w:t>
            </w:r>
          </w:p>
        </w:tc>
        <w:tc>
          <w:tcPr>
            <w:tcW w:w="1408"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BA7779">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30</w:t>
            </w:r>
          </w:p>
        </w:tc>
        <w:tc>
          <w:tcPr>
            <w:tcW w:w="1545"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FB2C57">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25</w:t>
            </w:r>
          </w:p>
        </w:tc>
        <w:tc>
          <w:tcPr>
            <w:tcW w:w="1575"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1D8E34">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20</w:t>
            </w:r>
          </w:p>
        </w:tc>
        <w:tc>
          <w:tcPr>
            <w:tcW w:w="1590"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739DB7">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15</w:t>
            </w:r>
          </w:p>
        </w:tc>
      </w:tr>
      <w:tr w14:paraId="3A20FBA5">
        <w:tblPrEx>
          <w:tblCellMar>
            <w:top w:w="0" w:type="dxa"/>
            <w:left w:w="0" w:type="dxa"/>
            <w:bottom w:w="0" w:type="dxa"/>
            <w:right w:w="0" w:type="dxa"/>
          </w:tblCellMar>
        </w:tblPrEx>
        <w:trPr>
          <w:trHeight w:val="361" w:hRule="atLeast"/>
        </w:trPr>
        <w:tc>
          <w:tcPr>
            <w:tcW w:w="1918"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E35078">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国家级</w:t>
            </w:r>
          </w:p>
        </w:tc>
        <w:tc>
          <w:tcPr>
            <w:tcW w:w="1408"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8E7BA1">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25</w:t>
            </w:r>
          </w:p>
        </w:tc>
        <w:tc>
          <w:tcPr>
            <w:tcW w:w="1545"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91778A">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20</w:t>
            </w:r>
          </w:p>
        </w:tc>
        <w:tc>
          <w:tcPr>
            <w:tcW w:w="1575"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61D5C9D">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1590"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59AF04">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10</w:t>
            </w:r>
          </w:p>
        </w:tc>
      </w:tr>
      <w:tr w14:paraId="216ADBB8">
        <w:tblPrEx>
          <w:tblCellMar>
            <w:top w:w="0" w:type="dxa"/>
            <w:left w:w="0" w:type="dxa"/>
            <w:bottom w:w="0" w:type="dxa"/>
            <w:right w:w="0" w:type="dxa"/>
          </w:tblCellMar>
        </w:tblPrEx>
        <w:trPr>
          <w:trHeight w:val="417" w:hRule="atLeast"/>
        </w:trPr>
        <w:tc>
          <w:tcPr>
            <w:tcW w:w="19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BBD09D">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省部级</w:t>
            </w:r>
          </w:p>
        </w:tc>
        <w:tc>
          <w:tcPr>
            <w:tcW w:w="14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8A3CFE">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20</w:t>
            </w:r>
          </w:p>
        </w:tc>
        <w:tc>
          <w:tcPr>
            <w:tcW w:w="15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C0F330">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235A4A">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1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002889">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r>
      <w:tr w14:paraId="60DBC630">
        <w:tblPrEx>
          <w:tblCellMar>
            <w:top w:w="0" w:type="dxa"/>
            <w:left w:w="0" w:type="dxa"/>
            <w:bottom w:w="0" w:type="dxa"/>
            <w:right w:w="0" w:type="dxa"/>
          </w:tblCellMar>
        </w:tblPrEx>
        <w:trPr>
          <w:trHeight w:val="342" w:hRule="atLeast"/>
        </w:trPr>
        <w:tc>
          <w:tcPr>
            <w:tcW w:w="19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A7CABD">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市校级</w:t>
            </w:r>
          </w:p>
        </w:tc>
        <w:tc>
          <w:tcPr>
            <w:tcW w:w="14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01A864">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15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F94AF1">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DCB3F78">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1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741E22">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r>
      <w:tr w14:paraId="476445A2">
        <w:tblPrEx>
          <w:tblCellMar>
            <w:top w:w="0" w:type="dxa"/>
            <w:left w:w="0" w:type="dxa"/>
            <w:bottom w:w="0" w:type="dxa"/>
            <w:right w:w="0" w:type="dxa"/>
          </w:tblCellMar>
        </w:tblPrEx>
        <w:trPr>
          <w:trHeight w:val="307" w:hRule="atLeast"/>
        </w:trPr>
        <w:tc>
          <w:tcPr>
            <w:tcW w:w="19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6A0993">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院级</w:t>
            </w:r>
          </w:p>
        </w:tc>
        <w:tc>
          <w:tcPr>
            <w:tcW w:w="14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5C4F9F">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15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D9E4B1">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17A90A">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7E7808">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r>
    </w:tbl>
    <w:p w14:paraId="54A548D8">
      <w:pPr>
        <w:spacing w:beforeLines="50"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各级别的分值可以累计，某一类活动数项获奖取最高一项。以上各项均应有正式证明或有关部门核准方可加分。团体比赛负责人或队长分值按七成计算，其余成员分值减半计算，若无队长所有成员分值均减半计算。</w:t>
      </w:r>
    </w:p>
    <w:p w14:paraId="135EBF34">
      <w:pPr>
        <w:spacing w:beforeLines="50" w:line="560" w:lineRule="exact"/>
        <w:ind w:firstLine="640" w:firstLineChars="200"/>
        <w:rPr>
          <w:rStyle w:val="10"/>
          <w:rFonts w:ascii="仿宋_GB2312" w:hAnsi="宋体" w:eastAsia="仿宋_GB2312"/>
          <w:color w:val="000000"/>
          <w:sz w:val="32"/>
          <w:szCs w:val="32"/>
          <w:highlight w:val="none"/>
        </w:rPr>
      </w:pPr>
      <w:r>
        <w:rPr>
          <w:rStyle w:val="10"/>
          <w:rFonts w:hint="eastAsia" w:ascii="仿宋_GB2312" w:hAnsi="宋体" w:eastAsia="仿宋_GB2312"/>
          <w:color w:val="000000"/>
          <w:sz w:val="32"/>
          <w:szCs w:val="32"/>
          <w:highlight w:val="none"/>
        </w:rPr>
        <w:t>4.</w:t>
      </w:r>
      <w:r>
        <w:rPr>
          <w:rStyle w:val="10"/>
          <w:rFonts w:ascii="仿宋_GB2312" w:hAnsi="宋体" w:eastAsia="仿宋_GB2312"/>
          <w:highlight w:val="none"/>
        </w:rPr>
        <w:t xml:space="preserve"> </w:t>
      </w:r>
      <w:r>
        <w:rPr>
          <w:rStyle w:val="10"/>
          <w:rFonts w:ascii="仿宋_GB2312" w:hAnsi="宋体" w:eastAsia="仿宋_GB2312"/>
          <w:color w:val="000000"/>
          <w:sz w:val="32"/>
          <w:szCs w:val="32"/>
          <w:highlight w:val="none"/>
        </w:rPr>
        <w:t>在体育比赛中破校、省、全国纪录，分别加5分、15分、20分</w:t>
      </w:r>
    </w:p>
    <w:p w14:paraId="797D2FA3">
      <w:pPr>
        <w:spacing w:beforeLines="50" w:line="560" w:lineRule="exact"/>
        <w:ind w:firstLine="640" w:firstLineChars="200"/>
        <w:rPr>
          <w:rStyle w:val="10"/>
          <w:rFonts w:ascii="仿宋_GB2312" w:hAnsi="宋体" w:eastAsia="仿宋_GB2312"/>
          <w:color w:val="000000"/>
          <w:sz w:val="32"/>
          <w:szCs w:val="32"/>
          <w:highlight w:val="none"/>
        </w:rPr>
      </w:pPr>
      <w:r>
        <w:rPr>
          <w:rStyle w:val="10"/>
          <w:rFonts w:hint="eastAsia" w:ascii="仿宋_GB2312" w:hAnsi="宋体" w:eastAsia="仿宋_GB2312"/>
          <w:color w:val="000000"/>
          <w:sz w:val="32"/>
          <w:szCs w:val="32"/>
          <w:highlight w:val="none"/>
        </w:rPr>
        <w:t>5.获得国家级裁判员、运动员称号的按照国家级一等奖加分；</w:t>
      </w:r>
    </w:p>
    <w:p w14:paraId="6DDC5843">
      <w:pPr>
        <w:spacing w:line="560" w:lineRule="exact"/>
        <w:ind w:firstLine="643" w:firstLineChars="200"/>
        <w:rPr>
          <w:rStyle w:val="10"/>
          <w:rFonts w:ascii="宋体" w:hAnsi="宋体"/>
          <w:color w:val="000000"/>
          <w:sz w:val="32"/>
          <w:szCs w:val="32"/>
          <w:highlight w:val="none"/>
        </w:rPr>
      </w:pPr>
      <w:r>
        <w:rPr>
          <w:rFonts w:hint="eastAsia" w:ascii="仿宋_GB2312" w:hAnsi="仿宋" w:eastAsia="仿宋_GB2312" w:cs="仿宋"/>
          <w:b/>
          <w:sz w:val="32"/>
          <w:szCs w:val="32"/>
          <w:highlight w:val="none"/>
        </w:rPr>
        <w:t xml:space="preserve">第二十二条 </w:t>
      </w:r>
      <w:r>
        <w:rPr>
          <w:rFonts w:hint="eastAsia" w:ascii="仿宋_GB2312" w:hAnsi="仿宋" w:eastAsia="仿宋_GB2312" w:cs="仿宋"/>
          <w:sz w:val="32"/>
          <w:szCs w:val="32"/>
          <w:highlight w:val="none"/>
        </w:rPr>
        <w:t xml:space="preserve"> </w:t>
      </w:r>
      <w:r>
        <w:rPr>
          <w:rStyle w:val="10"/>
          <w:rFonts w:ascii="仿宋_GB2312" w:hAnsi="宋体" w:eastAsia="仿宋_GB2312"/>
          <w:color w:val="000000"/>
          <w:sz w:val="32"/>
          <w:szCs w:val="32"/>
          <w:highlight w:val="none"/>
        </w:rPr>
        <w:t>无故不参加校、院、班级要求</w:t>
      </w:r>
      <w:r>
        <w:rPr>
          <w:rStyle w:val="10"/>
          <w:rFonts w:hint="eastAsia" w:ascii="仿宋_GB2312" w:hAnsi="宋体" w:eastAsia="仿宋_GB2312"/>
          <w:color w:val="000000"/>
          <w:sz w:val="32"/>
          <w:szCs w:val="32"/>
          <w:highlight w:val="none"/>
        </w:rPr>
        <w:t>必须</w:t>
      </w:r>
      <w:r>
        <w:rPr>
          <w:rStyle w:val="10"/>
          <w:rFonts w:ascii="仿宋_GB2312" w:hAnsi="宋体" w:eastAsia="仿宋_GB2312"/>
          <w:color w:val="000000"/>
          <w:sz w:val="32"/>
          <w:szCs w:val="32"/>
          <w:highlight w:val="none"/>
        </w:rPr>
        <w:t>参加的体育活动者，每次扣5分，造成</w:t>
      </w:r>
      <w:r>
        <w:rPr>
          <w:rStyle w:val="10"/>
          <w:rFonts w:hint="eastAsia" w:ascii="仿宋_GB2312" w:hAnsi="宋体" w:eastAsia="仿宋_GB2312"/>
          <w:color w:val="000000"/>
          <w:sz w:val="32"/>
          <w:szCs w:val="32"/>
          <w:highlight w:val="none"/>
        </w:rPr>
        <w:t>不良</w:t>
      </w:r>
      <w:r>
        <w:rPr>
          <w:rStyle w:val="10"/>
          <w:rFonts w:ascii="仿宋_GB2312" w:hAnsi="宋体" w:eastAsia="仿宋_GB2312"/>
          <w:color w:val="000000"/>
          <w:sz w:val="32"/>
          <w:szCs w:val="32"/>
          <w:highlight w:val="none"/>
        </w:rPr>
        <w:t>后果的扣10分至20分。</w:t>
      </w:r>
    </w:p>
    <w:p w14:paraId="09548EF2">
      <w:pPr>
        <w:ind w:firstLine="640" w:firstLineChars="200"/>
        <w:rPr>
          <w:rFonts w:ascii="仿宋_GB2312" w:hAnsi="仿宋" w:eastAsia="仿宋_GB2312" w:cs="仿宋"/>
          <w:sz w:val="32"/>
          <w:szCs w:val="32"/>
          <w:highlight w:val="none"/>
        </w:rPr>
      </w:pPr>
    </w:p>
    <w:p w14:paraId="225429D2">
      <w:pPr>
        <w:spacing w:line="560" w:lineRule="exact"/>
        <w:jc w:val="center"/>
        <w:rPr>
          <w:rFonts w:ascii="黑体" w:hAnsi="黑体" w:eastAsia="黑体" w:cs="仿宋"/>
          <w:b/>
          <w:bCs/>
          <w:sz w:val="32"/>
          <w:szCs w:val="32"/>
          <w:highlight w:val="none"/>
        </w:rPr>
      </w:pPr>
      <w:r>
        <w:rPr>
          <w:rFonts w:hint="eastAsia" w:ascii="黑体" w:hAnsi="黑体" w:eastAsia="黑体" w:cs="仿宋"/>
          <w:b/>
          <w:bCs/>
          <w:sz w:val="32"/>
          <w:szCs w:val="32"/>
          <w:highlight w:val="none"/>
        </w:rPr>
        <w:t xml:space="preserve">第八章 美育测评分数                               </w:t>
      </w:r>
    </w:p>
    <w:p w14:paraId="54625CF7">
      <w:pPr>
        <w:spacing w:beforeLines="50" w:line="560" w:lineRule="exact"/>
        <w:ind w:firstLine="643" w:firstLineChars="200"/>
        <w:rPr>
          <w:rStyle w:val="10"/>
          <w:rFonts w:ascii="仿宋_GB2312" w:hAnsi="宋体" w:eastAsia="仿宋_GB2312"/>
          <w:color w:val="000000"/>
          <w:sz w:val="32"/>
          <w:szCs w:val="32"/>
          <w:highlight w:val="none"/>
        </w:rPr>
      </w:pPr>
      <w:r>
        <w:rPr>
          <w:rFonts w:hint="eastAsia" w:ascii="仿宋_GB2312" w:hAnsi="仿宋" w:eastAsia="仿宋_GB2312" w:cs="仿宋"/>
          <w:b/>
          <w:sz w:val="32"/>
          <w:szCs w:val="32"/>
          <w:highlight w:val="none"/>
        </w:rPr>
        <w:t>第二十三条</w:t>
      </w:r>
      <w:r>
        <w:rPr>
          <w:rStyle w:val="10"/>
          <w:rFonts w:ascii="仿宋_GB2312" w:hAnsi="宋体" w:eastAsia="仿宋_GB2312"/>
          <w:color w:val="000000"/>
          <w:sz w:val="32"/>
          <w:szCs w:val="32"/>
          <w:highlight w:val="none"/>
        </w:rPr>
        <w:t>美育测评主要考核学生认识美、体验美、感受美、欣赏美和创造美的能力和水平。</w:t>
      </w:r>
      <w:r>
        <w:rPr>
          <w:rFonts w:hint="eastAsia" w:ascii="仿宋_GB2312" w:hAnsi="仿宋" w:eastAsia="仿宋_GB2312" w:cs="仿宋"/>
          <w:sz w:val="32"/>
          <w:szCs w:val="32"/>
          <w:highlight w:val="none"/>
        </w:rPr>
        <w:t>美育满分为100分，基础分70分，奖励分累计不超过</w:t>
      </w:r>
      <w:r>
        <w:rPr>
          <w:rFonts w:ascii="仿宋_GB2312" w:hAnsi="仿宋" w:eastAsia="仿宋_GB2312" w:cs="仿宋"/>
          <w:sz w:val="32"/>
          <w:szCs w:val="32"/>
          <w:highlight w:val="none"/>
        </w:rPr>
        <w:t>30</w:t>
      </w:r>
      <w:r>
        <w:rPr>
          <w:rFonts w:hint="eastAsia" w:ascii="仿宋_GB2312" w:hAnsi="仿宋" w:eastAsia="仿宋_GB2312" w:cs="仿宋"/>
          <w:sz w:val="32"/>
          <w:szCs w:val="32"/>
          <w:highlight w:val="none"/>
        </w:rPr>
        <w:t>分，具体计分方法如下：</w:t>
      </w:r>
    </w:p>
    <w:p w14:paraId="57FDD5A9">
      <w:pPr>
        <w:spacing w:beforeLines="50" w:line="560" w:lineRule="exact"/>
        <w:ind w:firstLine="640" w:firstLineChars="200"/>
        <w:rPr>
          <w:rStyle w:val="10"/>
          <w:rFonts w:ascii="仿宋_GB2312" w:hAnsi="宋体" w:eastAsia="仿宋_GB2312"/>
          <w:color w:val="000000"/>
          <w:sz w:val="32"/>
          <w:szCs w:val="32"/>
          <w:highlight w:val="none"/>
        </w:rPr>
      </w:pPr>
      <w:r>
        <w:rPr>
          <w:rStyle w:val="10"/>
          <w:rFonts w:hint="eastAsia" w:ascii="仿宋_GB2312" w:hAnsi="宋体" w:eastAsia="仿宋_GB2312"/>
          <w:color w:val="000000"/>
          <w:sz w:val="32"/>
          <w:szCs w:val="32"/>
          <w:highlight w:val="none"/>
        </w:rPr>
        <w:t>美育分=基础分+奖励分-扣分</w:t>
      </w:r>
    </w:p>
    <w:p w14:paraId="6D9E80A6">
      <w:pPr>
        <w:spacing w:line="560" w:lineRule="exact"/>
        <w:ind w:firstLine="640" w:firstLineChars="200"/>
        <w:rPr>
          <w:rStyle w:val="10"/>
          <w:rFonts w:ascii="仿宋_GB2312" w:hAnsi="宋体" w:eastAsia="仿宋_GB2312"/>
          <w:color w:val="000000"/>
          <w:sz w:val="32"/>
          <w:szCs w:val="32"/>
          <w:highlight w:val="none"/>
        </w:rPr>
      </w:pPr>
      <w:r>
        <w:rPr>
          <w:rFonts w:ascii="仿宋_GB2312" w:hAnsi="仿宋" w:eastAsia="仿宋_GB2312" w:cs="仿宋"/>
          <w:sz w:val="32"/>
          <w:szCs w:val="32"/>
          <w:highlight w:val="none"/>
        </w:rPr>
        <w:t>1.</w:t>
      </w:r>
      <w:r>
        <w:rPr>
          <w:rStyle w:val="10"/>
          <w:rFonts w:ascii="仿宋_GB2312" w:hAnsi="宋体" w:eastAsia="仿宋_GB2312"/>
          <w:color w:val="000000"/>
          <w:sz w:val="32"/>
          <w:szCs w:val="32"/>
          <w:highlight w:val="none"/>
        </w:rPr>
        <w:t>积极参加院及班级</w:t>
      </w:r>
      <w:r>
        <w:rPr>
          <w:rStyle w:val="10"/>
          <w:rFonts w:hint="eastAsia" w:ascii="仿宋_GB2312" w:hAnsi="宋体" w:eastAsia="仿宋_GB2312"/>
          <w:color w:val="000000"/>
          <w:sz w:val="32"/>
          <w:szCs w:val="32"/>
          <w:highlight w:val="none"/>
        </w:rPr>
        <w:t>文艺</w:t>
      </w:r>
      <w:r>
        <w:rPr>
          <w:rStyle w:val="10"/>
          <w:rFonts w:ascii="仿宋_GB2312" w:hAnsi="宋体" w:eastAsia="仿宋_GB2312"/>
          <w:color w:val="000000"/>
          <w:sz w:val="32"/>
          <w:szCs w:val="32"/>
          <w:highlight w:val="none"/>
        </w:rPr>
        <w:t>活动者每次5分，</w:t>
      </w:r>
      <w:r>
        <w:rPr>
          <w:rStyle w:val="10"/>
          <w:rFonts w:hint="eastAsia" w:ascii="仿宋_GB2312" w:hAnsi="宋体" w:eastAsia="仿宋_GB2312"/>
          <w:color w:val="000000"/>
          <w:sz w:val="32"/>
          <w:szCs w:val="32"/>
          <w:highlight w:val="none"/>
        </w:rPr>
        <w:t>代表学院参加校级文艺活动每次8分</w:t>
      </w:r>
      <w:r>
        <w:rPr>
          <w:rStyle w:val="10"/>
          <w:rFonts w:ascii="仿宋_GB2312" w:hAnsi="宋体" w:eastAsia="仿宋_GB2312"/>
          <w:color w:val="000000"/>
          <w:sz w:val="32"/>
          <w:szCs w:val="32"/>
          <w:highlight w:val="none"/>
        </w:rPr>
        <w:t>。</w:t>
      </w:r>
    </w:p>
    <w:p w14:paraId="017E3231">
      <w:pPr>
        <w:spacing w:beforeLines="50" w:line="560" w:lineRule="exact"/>
        <w:ind w:firstLine="640" w:firstLineChars="200"/>
        <w:rPr>
          <w:rFonts w:ascii="仿宋" w:hAnsi="仿宋" w:eastAsia="仿宋" w:cs="仿宋"/>
          <w:sz w:val="32"/>
          <w:szCs w:val="32"/>
          <w:highlight w:val="none"/>
        </w:rPr>
      </w:pPr>
      <w:r>
        <w:rPr>
          <w:rFonts w:ascii="仿宋_GB2312" w:hAnsi="仿宋" w:eastAsia="仿宋_GB2312" w:cs="仿宋"/>
          <w:sz w:val="32"/>
          <w:szCs w:val="32"/>
          <w:highlight w:val="none"/>
        </w:rPr>
        <w:t>2.</w:t>
      </w:r>
      <w:r>
        <w:rPr>
          <w:rFonts w:hint="eastAsia" w:ascii="仿宋" w:hAnsi="仿宋" w:eastAsia="仿宋" w:cs="仿宋"/>
          <w:sz w:val="32"/>
          <w:szCs w:val="32"/>
          <w:highlight w:val="none"/>
        </w:rPr>
        <w:t xml:space="preserve"> 带头参加由学校、学院或班级等组织的文艺活动并获得奖项；在国家、省、学校和学院举行的文艺活动中，代表学校或培养单位参加所获得奖励；活动级别加分标准如下：</w:t>
      </w:r>
    </w:p>
    <w:p w14:paraId="26A6810C">
      <w:pPr>
        <w:spacing w:beforeLines="50" w:line="560" w:lineRule="exact"/>
        <w:jc w:val="center"/>
        <w:rPr>
          <w:rFonts w:ascii="仿宋" w:hAnsi="仿宋" w:eastAsia="仿宋" w:cs="仿宋"/>
          <w:b/>
          <w:sz w:val="28"/>
          <w:szCs w:val="32"/>
          <w:highlight w:val="none"/>
        </w:rPr>
      </w:pPr>
      <w:r>
        <w:rPr>
          <w:rFonts w:hint="eastAsia" w:ascii="仿宋" w:hAnsi="仿宋" w:eastAsia="仿宋" w:cs="仿宋"/>
          <w:b/>
          <w:sz w:val="28"/>
          <w:szCs w:val="32"/>
          <w:highlight w:val="none"/>
        </w:rPr>
        <w:t>文艺类活动获奖评分标准（单位：分/项）</w:t>
      </w:r>
    </w:p>
    <w:tbl>
      <w:tblPr>
        <w:tblStyle w:val="6"/>
        <w:tblpPr w:leftFromText="180" w:rightFromText="180" w:vertAnchor="text" w:horzAnchor="page" w:tblpX="2041" w:tblpY="286"/>
        <w:tblOverlap w:val="never"/>
        <w:tblW w:w="8036" w:type="dxa"/>
        <w:tblInd w:w="0" w:type="dxa"/>
        <w:tblLayout w:type="fixed"/>
        <w:tblCellMar>
          <w:top w:w="0" w:type="dxa"/>
          <w:left w:w="0" w:type="dxa"/>
          <w:bottom w:w="0" w:type="dxa"/>
          <w:right w:w="0" w:type="dxa"/>
        </w:tblCellMar>
      </w:tblPr>
      <w:tblGrid>
        <w:gridCol w:w="1918"/>
        <w:gridCol w:w="1408"/>
        <w:gridCol w:w="1545"/>
        <w:gridCol w:w="1575"/>
        <w:gridCol w:w="1590"/>
      </w:tblGrid>
      <w:tr w14:paraId="249ACE73">
        <w:tblPrEx>
          <w:tblCellMar>
            <w:top w:w="0" w:type="dxa"/>
            <w:left w:w="0" w:type="dxa"/>
            <w:bottom w:w="0" w:type="dxa"/>
            <w:right w:w="0" w:type="dxa"/>
          </w:tblCellMar>
        </w:tblPrEx>
        <w:trPr>
          <w:trHeight w:val="575" w:hRule="atLeast"/>
        </w:trPr>
        <w:tc>
          <w:tcPr>
            <w:tcW w:w="1918" w:type="dxa"/>
            <w:tcBorders>
              <w:top w:val="single" w:color="auto" w:sz="8" w:space="0"/>
              <w:left w:val="single" w:color="auto" w:sz="4" w:space="0"/>
              <w:bottom w:val="single" w:color="auto" w:sz="4" w:space="0"/>
              <w:right w:val="single" w:color="auto" w:sz="4" w:space="0"/>
              <w:tl2br w:val="single" w:color="auto" w:sz="4" w:space="0"/>
            </w:tcBorders>
            <w:tcMar>
              <w:top w:w="0" w:type="dxa"/>
              <w:left w:w="108" w:type="dxa"/>
              <w:bottom w:w="0" w:type="dxa"/>
              <w:right w:w="108" w:type="dxa"/>
            </w:tcMar>
            <w:vAlign w:val="center"/>
          </w:tcPr>
          <w:p w14:paraId="59B87FA2">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等次</w:t>
            </w:r>
          </w:p>
          <w:p w14:paraId="0B98FE81">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获奖级别</w:t>
            </w:r>
          </w:p>
        </w:tc>
        <w:tc>
          <w:tcPr>
            <w:tcW w:w="1408"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96A5C1">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一等奖</w:t>
            </w:r>
          </w:p>
        </w:tc>
        <w:tc>
          <w:tcPr>
            <w:tcW w:w="1545"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CF10E8">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二等奖</w:t>
            </w:r>
          </w:p>
        </w:tc>
        <w:tc>
          <w:tcPr>
            <w:tcW w:w="1575"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19EC27">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三等奖</w:t>
            </w:r>
          </w:p>
        </w:tc>
        <w:tc>
          <w:tcPr>
            <w:tcW w:w="1590"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B48889">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优秀奖</w:t>
            </w:r>
          </w:p>
        </w:tc>
      </w:tr>
      <w:tr w14:paraId="0CA36937">
        <w:tblPrEx>
          <w:tblCellMar>
            <w:top w:w="0" w:type="dxa"/>
            <w:left w:w="0" w:type="dxa"/>
            <w:bottom w:w="0" w:type="dxa"/>
            <w:right w:w="0" w:type="dxa"/>
          </w:tblCellMar>
        </w:tblPrEx>
        <w:trPr>
          <w:trHeight w:val="361" w:hRule="atLeast"/>
        </w:trPr>
        <w:tc>
          <w:tcPr>
            <w:tcW w:w="1918"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323ED5">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国际级</w:t>
            </w:r>
          </w:p>
        </w:tc>
        <w:tc>
          <w:tcPr>
            <w:tcW w:w="1408"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127673">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30</w:t>
            </w:r>
          </w:p>
        </w:tc>
        <w:tc>
          <w:tcPr>
            <w:tcW w:w="1545"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FA60F2">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25</w:t>
            </w:r>
          </w:p>
        </w:tc>
        <w:tc>
          <w:tcPr>
            <w:tcW w:w="1575"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1CE2A5">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20</w:t>
            </w:r>
          </w:p>
        </w:tc>
        <w:tc>
          <w:tcPr>
            <w:tcW w:w="1590"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4FAFDD">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15</w:t>
            </w:r>
          </w:p>
        </w:tc>
      </w:tr>
      <w:tr w14:paraId="5AADD282">
        <w:tblPrEx>
          <w:tblCellMar>
            <w:top w:w="0" w:type="dxa"/>
            <w:left w:w="0" w:type="dxa"/>
            <w:bottom w:w="0" w:type="dxa"/>
            <w:right w:w="0" w:type="dxa"/>
          </w:tblCellMar>
        </w:tblPrEx>
        <w:trPr>
          <w:trHeight w:val="361" w:hRule="atLeast"/>
        </w:trPr>
        <w:tc>
          <w:tcPr>
            <w:tcW w:w="1918"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192FF8">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国家级</w:t>
            </w:r>
          </w:p>
        </w:tc>
        <w:tc>
          <w:tcPr>
            <w:tcW w:w="1408"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191F49">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25</w:t>
            </w:r>
          </w:p>
        </w:tc>
        <w:tc>
          <w:tcPr>
            <w:tcW w:w="1545"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253B04">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20</w:t>
            </w:r>
          </w:p>
        </w:tc>
        <w:tc>
          <w:tcPr>
            <w:tcW w:w="1575"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846382">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1590"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586854">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10</w:t>
            </w:r>
          </w:p>
        </w:tc>
      </w:tr>
      <w:tr w14:paraId="000961A9">
        <w:tblPrEx>
          <w:tblCellMar>
            <w:top w:w="0" w:type="dxa"/>
            <w:left w:w="0" w:type="dxa"/>
            <w:bottom w:w="0" w:type="dxa"/>
            <w:right w:w="0" w:type="dxa"/>
          </w:tblCellMar>
        </w:tblPrEx>
        <w:trPr>
          <w:trHeight w:val="417" w:hRule="atLeast"/>
        </w:trPr>
        <w:tc>
          <w:tcPr>
            <w:tcW w:w="19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D67273">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省部级</w:t>
            </w:r>
          </w:p>
        </w:tc>
        <w:tc>
          <w:tcPr>
            <w:tcW w:w="14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1FFE06">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20</w:t>
            </w:r>
          </w:p>
        </w:tc>
        <w:tc>
          <w:tcPr>
            <w:tcW w:w="15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4914B5B">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99ADD59">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1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B87168">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r>
      <w:tr w14:paraId="7AD4F214">
        <w:tblPrEx>
          <w:tblCellMar>
            <w:top w:w="0" w:type="dxa"/>
            <w:left w:w="0" w:type="dxa"/>
            <w:bottom w:w="0" w:type="dxa"/>
            <w:right w:w="0" w:type="dxa"/>
          </w:tblCellMar>
        </w:tblPrEx>
        <w:trPr>
          <w:trHeight w:val="342" w:hRule="atLeast"/>
        </w:trPr>
        <w:tc>
          <w:tcPr>
            <w:tcW w:w="19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80CAF3">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市校级</w:t>
            </w:r>
          </w:p>
        </w:tc>
        <w:tc>
          <w:tcPr>
            <w:tcW w:w="14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18B908">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15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9A04F4">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97E4B7">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1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16ACE2">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r>
      <w:tr w14:paraId="3BB81E63">
        <w:tblPrEx>
          <w:tblCellMar>
            <w:top w:w="0" w:type="dxa"/>
            <w:left w:w="0" w:type="dxa"/>
            <w:bottom w:w="0" w:type="dxa"/>
            <w:right w:w="0" w:type="dxa"/>
          </w:tblCellMar>
        </w:tblPrEx>
        <w:trPr>
          <w:trHeight w:val="307" w:hRule="atLeast"/>
        </w:trPr>
        <w:tc>
          <w:tcPr>
            <w:tcW w:w="19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EB9FE6">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院级</w:t>
            </w:r>
          </w:p>
        </w:tc>
        <w:tc>
          <w:tcPr>
            <w:tcW w:w="14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F37C2B">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15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29DBC3">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22DDEC">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1382E4">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r>
    </w:tbl>
    <w:p w14:paraId="02233875">
      <w:pPr>
        <w:spacing w:beforeLines="50"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注：各级别的分值可以累计，某一类活动数项获奖取最高一项。以上各项均应有正式证明或有关部门核准方可加分。团体比赛主要编排人员分值按对应获奖项目</w:t>
      </w:r>
      <w:r>
        <w:rPr>
          <w:rFonts w:hint="eastAsia" w:ascii="Times New Roman" w:hAnsi="Times New Roman" w:eastAsia="仿宋"/>
          <w:sz w:val="28"/>
          <w:szCs w:val="28"/>
          <w:highlight w:val="none"/>
        </w:rPr>
        <w:t>应得分值计算</w:t>
      </w:r>
      <w:r>
        <w:rPr>
          <w:rFonts w:hint="eastAsia" w:ascii="仿宋" w:hAnsi="仿宋" w:eastAsia="仿宋" w:cs="仿宋"/>
          <w:sz w:val="28"/>
          <w:szCs w:val="28"/>
          <w:highlight w:val="none"/>
        </w:rPr>
        <w:t>，其余成员分值减半计算，若无编排人员所有成员分值均减半计算。</w:t>
      </w:r>
    </w:p>
    <w:p w14:paraId="51392CB5">
      <w:pPr>
        <w:spacing w:beforeLines="50" w:line="560" w:lineRule="exact"/>
        <w:ind w:firstLine="643" w:firstLineChars="200"/>
        <w:rPr>
          <w:rStyle w:val="10"/>
          <w:rFonts w:ascii="仿宋_GB2312" w:hAnsi="宋体" w:eastAsia="仿宋_GB2312"/>
          <w:color w:val="000000"/>
          <w:sz w:val="32"/>
          <w:szCs w:val="32"/>
          <w:highlight w:val="none"/>
        </w:rPr>
      </w:pPr>
      <w:r>
        <w:rPr>
          <w:rFonts w:hint="eastAsia" w:ascii="仿宋_GB2312" w:hAnsi="仿宋" w:eastAsia="仿宋_GB2312" w:cs="仿宋"/>
          <w:b/>
          <w:sz w:val="32"/>
          <w:szCs w:val="32"/>
          <w:highlight w:val="none"/>
        </w:rPr>
        <w:t xml:space="preserve">第二十四条  </w:t>
      </w:r>
      <w:r>
        <w:rPr>
          <w:rStyle w:val="10"/>
          <w:rFonts w:ascii="仿宋_GB2312" w:hAnsi="宋体" w:eastAsia="仿宋_GB2312"/>
          <w:color w:val="000000"/>
          <w:sz w:val="32"/>
          <w:szCs w:val="32"/>
          <w:highlight w:val="none"/>
        </w:rPr>
        <w:t>凡无故不参加校、院、班级要求</w:t>
      </w:r>
      <w:r>
        <w:rPr>
          <w:rStyle w:val="10"/>
          <w:rFonts w:hint="eastAsia" w:ascii="仿宋_GB2312" w:hAnsi="宋体" w:eastAsia="仿宋_GB2312"/>
          <w:color w:val="000000"/>
          <w:sz w:val="32"/>
          <w:szCs w:val="32"/>
          <w:highlight w:val="none"/>
        </w:rPr>
        <w:t>必须</w:t>
      </w:r>
      <w:r>
        <w:rPr>
          <w:rStyle w:val="10"/>
          <w:rFonts w:ascii="仿宋_GB2312" w:hAnsi="宋体" w:eastAsia="仿宋_GB2312"/>
          <w:color w:val="000000"/>
          <w:sz w:val="32"/>
          <w:szCs w:val="32"/>
          <w:highlight w:val="none"/>
        </w:rPr>
        <w:t>参加的美育活动者，每次扣5分；有“恶搞”等低级趣味行为</w:t>
      </w:r>
      <w:r>
        <w:rPr>
          <w:rStyle w:val="10"/>
          <w:rFonts w:hint="eastAsia" w:ascii="仿宋_GB2312" w:hAnsi="宋体" w:eastAsia="仿宋_GB2312"/>
          <w:color w:val="000000"/>
          <w:sz w:val="32"/>
          <w:szCs w:val="32"/>
          <w:highlight w:val="none"/>
        </w:rPr>
        <w:t>影响学校声誉和大学生形象的</w:t>
      </w:r>
      <w:r>
        <w:rPr>
          <w:rStyle w:val="10"/>
          <w:rFonts w:ascii="仿宋_GB2312" w:hAnsi="宋体" w:eastAsia="仿宋_GB2312"/>
          <w:color w:val="000000"/>
          <w:sz w:val="32"/>
          <w:szCs w:val="32"/>
          <w:highlight w:val="none"/>
        </w:rPr>
        <w:t>，发现一次扣10分，造成</w:t>
      </w:r>
      <w:r>
        <w:rPr>
          <w:rStyle w:val="10"/>
          <w:rFonts w:hint="eastAsia" w:ascii="仿宋_GB2312" w:hAnsi="宋体" w:eastAsia="仿宋_GB2312"/>
          <w:color w:val="000000"/>
          <w:sz w:val="32"/>
          <w:szCs w:val="32"/>
          <w:highlight w:val="none"/>
        </w:rPr>
        <w:t>严重后果</w:t>
      </w:r>
      <w:r>
        <w:rPr>
          <w:rStyle w:val="10"/>
          <w:rFonts w:ascii="仿宋_GB2312" w:hAnsi="宋体" w:eastAsia="仿宋_GB2312"/>
          <w:color w:val="000000"/>
          <w:sz w:val="32"/>
          <w:szCs w:val="32"/>
          <w:highlight w:val="none"/>
        </w:rPr>
        <w:t>的扣15分至20分。</w:t>
      </w:r>
    </w:p>
    <w:p w14:paraId="4E0A1E62">
      <w:pPr>
        <w:spacing w:beforeLines="50" w:line="560" w:lineRule="exact"/>
        <w:rPr>
          <w:rStyle w:val="10"/>
          <w:rFonts w:ascii="仿宋_GB2312" w:hAnsi="宋体" w:eastAsia="仿宋_GB2312"/>
          <w:color w:val="000000"/>
          <w:highlight w:val="none"/>
        </w:rPr>
      </w:pPr>
    </w:p>
    <w:p w14:paraId="14D3F65F">
      <w:pPr>
        <w:spacing w:line="560" w:lineRule="exact"/>
        <w:ind w:firstLine="2891" w:firstLineChars="900"/>
        <w:rPr>
          <w:rFonts w:ascii="黑体" w:hAnsi="黑体" w:eastAsia="黑体" w:cs="仿宋"/>
          <w:b/>
          <w:bCs/>
          <w:sz w:val="32"/>
          <w:szCs w:val="32"/>
          <w:highlight w:val="none"/>
        </w:rPr>
      </w:pPr>
      <w:r>
        <w:rPr>
          <w:rFonts w:hint="eastAsia" w:ascii="黑体" w:hAnsi="黑体" w:eastAsia="黑体" w:cs="仿宋"/>
          <w:b/>
          <w:bCs/>
          <w:sz w:val="32"/>
          <w:szCs w:val="32"/>
          <w:highlight w:val="none"/>
        </w:rPr>
        <w:t>第九章  劳育测评分数</w:t>
      </w:r>
    </w:p>
    <w:p w14:paraId="1A10FD6D">
      <w:pPr>
        <w:spacing w:line="560" w:lineRule="exact"/>
        <w:ind w:firstLine="643" w:firstLineChars="200"/>
        <w:rPr>
          <w:rFonts w:ascii="仿宋_GB2312" w:hAnsi="仿宋" w:eastAsia="仿宋_GB2312" w:cs="仿宋"/>
          <w:sz w:val="32"/>
          <w:szCs w:val="32"/>
          <w:highlight w:val="none"/>
        </w:rPr>
      </w:pPr>
      <w:r>
        <w:rPr>
          <w:rFonts w:hint="eastAsia" w:ascii="仿宋_GB2312" w:hAnsi="仿宋" w:eastAsia="仿宋_GB2312" w:cs="仿宋"/>
          <w:b/>
          <w:sz w:val="32"/>
          <w:szCs w:val="32"/>
          <w:highlight w:val="none"/>
        </w:rPr>
        <w:t>第二十五条</w:t>
      </w:r>
      <w:r>
        <w:rPr>
          <w:rFonts w:hint="eastAsia" w:ascii="仿宋_GB2312" w:hAnsi="仿宋" w:eastAsia="仿宋_GB2312" w:cs="仿宋"/>
          <w:sz w:val="32"/>
          <w:szCs w:val="32"/>
          <w:highlight w:val="none"/>
        </w:rPr>
        <w:t xml:space="preserve"> </w:t>
      </w:r>
      <w:r>
        <w:rPr>
          <w:rStyle w:val="10"/>
          <w:rFonts w:ascii="仿宋_GB2312" w:hAnsi="宋体" w:eastAsia="仿宋_GB2312"/>
          <w:color w:val="000000"/>
          <w:sz w:val="32"/>
          <w:szCs w:val="32"/>
          <w:highlight w:val="none"/>
        </w:rPr>
        <w:t>劳动教育测评主要考核学生进行日常生活劳动、生产劳动和服务性劳动的情况。</w:t>
      </w:r>
      <w:r>
        <w:rPr>
          <w:rFonts w:hint="eastAsia" w:ascii="仿宋_GB2312" w:hAnsi="仿宋" w:eastAsia="仿宋_GB2312" w:cs="仿宋"/>
          <w:sz w:val="32"/>
          <w:szCs w:val="32"/>
          <w:highlight w:val="none"/>
        </w:rPr>
        <w:t>劳育满分为100分，基础分70分，奖励分累计不超过</w:t>
      </w:r>
      <w:r>
        <w:rPr>
          <w:rFonts w:ascii="仿宋_GB2312" w:hAnsi="仿宋" w:eastAsia="仿宋_GB2312" w:cs="仿宋"/>
          <w:sz w:val="32"/>
          <w:szCs w:val="32"/>
          <w:highlight w:val="none"/>
        </w:rPr>
        <w:t>30</w:t>
      </w:r>
      <w:r>
        <w:rPr>
          <w:rFonts w:hint="eastAsia" w:ascii="仿宋_GB2312" w:hAnsi="仿宋" w:eastAsia="仿宋_GB2312" w:cs="仿宋"/>
          <w:sz w:val="32"/>
          <w:szCs w:val="32"/>
          <w:highlight w:val="none"/>
        </w:rPr>
        <w:t>分，具体计分方法如下：</w:t>
      </w:r>
    </w:p>
    <w:p w14:paraId="35A514DD">
      <w:pPr>
        <w:spacing w:beforeLines="50" w:line="560" w:lineRule="exact"/>
        <w:ind w:firstLine="640" w:firstLineChars="200"/>
        <w:rPr>
          <w:rFonts w:ascii="仿宋_GB2312" w:hAnsi="宋体" w:eastAsia="仿宋_GB2312"/>
          <w:color w:val="000000"/>
          <w:sz w:val="32"/>
          <w:szCs w:val="32"/>
          <w:highlight w:val="none"/>
        </w:rPr>
      </w:pPr>
      <w:r>
        <w:rPr>
          <w:rStyle w:val="10"/>
          <w:rFonts w:hint="eastAsia" w:ascii="仿宋_GB2312" w:hAnsi="宋体" w:eastAsia="仿宋_GB2312"/>
          <w:color w:val="000000"/>
          <w:sz w:val="32"/>
          <w:szCs w:val="32"/>
          <w:highlight w:val="none"/>
        </w:rPr>
        <w:t>劳育分=基础分+奖励分-扣分</w:t>
      </w:r>
    </w:p>
    <w:p w14:paraId="22A9AEEB">
      <w:pPr>
        <w:spacing w:line="560" w:lineRule="exact"/>
        <w:ind w:firstLine="640" w:firstLineChars="200"/>
        <w:rPr>
          <w:rFonts w:ascii="黑体" w:hAnsi="黑体" w:eastAsia="黑体" w:cs="仿宋"/>
          <w:b/>
          <w:bCs/>
          <w:sz w:val="32"/>
          <w:szCs w:val="32"/>
          <w:highlight w:val="none"/>
        </w:rPr>
      </w:pPr>
      <w:r>
        <w:rPr>
          <w:rFonts w:hint="eastAsia" w:ascii="仿宋_GB2312" w:hAnsi="仿宋" w:eastAsia="仿宋_GB2312" w:cs="仿宋"/>
          <w:sz w:val="32"/>
          <w:szCs w:val="32"/>
          <w:highlight w:val="none"/>
        </w:rPr>
        <w:t>1、担任助管每学期加</w:t>
      </w:r>
      <w:r>
        <w:rPr>
          <w:rFonts w:ascii="仿宋_GB2312" w:hAnsi="仿宋" w:eastAsia="仿宋_GB2312" w:cs="仿宋"/>
          <w:sz w:val="32"/>
          <w:szCs w:val="32"/>
          <w:highlight w:val="none"/>
        </w:rPr>
        <w:t>5</w:t>
      </w:r>
      <w:r>
        <w:rPr>
          <w:rFonts w:hint="eastAsia" w:ascii="仿宋_GB2312" w:hAnsi="仿宋" w:eastAsia="仿宋_GB2312" w:cs="仿宋"/>
          <w:sz w:val="32"/>
          <w:szCs w:val="32"/>
          <w:highlight w:val="none"/>
        </w:rPr>
        <w:t>分，满一年加1</w:t>
      </w:r>
      <w:r>
        <w:rPr>
          <w:rFonts w:ascii="仿宋_GB2312" w:hAnsi="仿宋" w:eastAsia="仿宋_GB2312" w:cs="仿宋"/>
          <w:sz w:val="32"/>
          <w:szCs w:val="32"/>
          <w:highlight w:val="none"/>
        </w:rPr>
        <w:t>0</w:t>
      </w:r>
      <w:r>
        <w:rPr>
          <w:rFonts w:hint="eastAsia" w:ascii="仿宋_GB2312" w:hAnsi="仿宋" w:eastAsia="仿宋_GB2312" w:cs="仿宋"/>
          <w:sz w:val="32"/>
          <w:szCs w:val="32"/>
          <w:highlight w:val="none"/>
        </w:rPr>
        <w:t>分。</w:t>
      </w:r>
    </w:p>
    <w:p w14:paraId="5E841785">
      <w:pPr>
        <w:ind w:firstLine="640" w:firstLineChars="200"/>
        <w:rPr>
          <w:rStyle w:val="10"/>
          <w:rFonts w:ascii="仿宋_GB2312" w:hAnsi="宋体" w:eastAsia="仿宋_GB2312"/>
          <w:color w:val="000000"/>
          <w:sz w:val="32"/>
          <w:szCs w:val="32"/>
          <w:highlight w:val="none"/>
        </w:rPr>
      </w:pPr>
      <w:r>
        <w:rPr>
          <w:rStyle w:val="10"/>
          <w:rFonts w:ascii="仿宋_GB2312" w:hAnsi="宋体" w:eastAsia="仿宋_GB2312"/>
          <w:color w:val="000000"/>
          <w:sz w:val="32"/>
          <w:szCs w:val="32"/>
          <w:highlight w:val="none"/>
        </w:rPr>
        <w:t>2、积极参加校、院组织的“文化、科技、卫生‘三下乡’”、</w:t>
      </w:r>
      <w:r>
        <w:rPr>
          <w:rStyle w:val="10"/>
          <w:rFonts w:hint="eastAsia" w:ascii="仿宋_GB2312" w:hAnsi="宋体" w:eastAsia="仿宋_GB2312"/>
          <w:color w:val="000000"/>
          <w:sz w:val="32"/>
          <w:szCs w:val="32"/>
          <w:highlight w:val="none"/>
        </w:rPr>
        <w:t>博士村长</w:t>
      </w:r>
      <w:r>
        <w:rPr>
          <w:rStyle w:val="10"/>
          <w:rFonts w:ascii="仿宋_GB2312" w:hAnsi="宋体" w:eastAsia="仿宋_GB2312"/>
          <w:color w:val="000000"/>
          <w:sz w:val="32"/>
          <w:szCs w:val="32"/>
          <w:highlight w:val="none"/>
        </w:rPr>
        <w:t>等</w:t>
      </w:r>
      <w:r>
        <w:rPr>
          <w:rStyle w:val="10"/>
          <w:rFonts w:hint="eastAsia" w:ascii="仿宋_GB2312" w:hAnsi="宋体" w:eastAsia="仿宋_GB2312"/>
          <w:color w:val="000000"/>
          <w:sz w:val="32"/>
          <w:szCs w:val="32"/>
          <w:highlight w:val="none"/>
        </w:rPr>
        <w:t>寒暑假</w:t>
      </w:r>
      <w:r>
        <w:rPr>
          <w:rStyle w:val="10"/>
          <w:rFonts w:ascii="仿宋_GB2312" w:hAnsi="宋体" w:eastAsia="仿宋_GB2312"/>
          <w:color w:val="000000"/>
          <w:sz w:val="32"/>
          <w:szCs w:val="32"/>
          <w:highlight w:val="none"/>
        </w:rPr>
        <w:t>社会实践活动的</w:t>
      </w:r>
      <w:r>
        <w:rPr>
          <w:rStyle w:val="10"/>
          <w:rFonts w:hint="eastAsia" w:ascii="仿宋_GB2312" w:hAnsi="宋体" w:eastAsia="仿宋_GB2312"/>
          <w:color w:val="000000"/>
          <w:sz w:val="32"/>
          <w:szCs w:val="32"/>
          <w:highlight w:val="none"/>
        </w:rPr>
        <w:t>负责人加</w:t>
      </w:r>
      <w:r>
        <w:rPr>
          <w:rStyle w:val="10"/>
          <w:rFonts w:ascii="仿宋_GB2312" w:hAnsi="宋体" w:eastAsia="仿宋_GB2312"/>
          <w:color w:val="000000"/>
          <w:sz w:val="32"/>
          <w:szCs w:val="32"/>
          <w:highlight w:val="none"/>
        </w:rPr>
        <w:t>15</w:t>
      </w:r>
      <w:r>
        <w:rPr>
          <w:rStyle w:val="10"/>
          <w:rFonts w:hint="eastAsia" w:ascii="仿宋_GB2312" w:hAnsi="宋体" w:eastAsia="仿宋_GB2312"/>
          <w:color w:val="000000"/>
          <w:sz w:val="32"/>
          <w:szCs w:val="32"/>
          <w:highlight w:val="none"/>
        </w:rPr>
        <w:t>分，成员加</w:t>
      </w:r>
      <w:r>
        <w:rPr>
          <w:rStyle w:val="10"/>
          <w:rFonts w:ascii="仿宋_GB2312" w:hAnsi="宋体" w:eastAsia="仿宋_GB2312"/>
          <w:color w:val="000000"/>
          <w:sz w:val="32"/>
          <w:szCs w:val="32"/>
          <w:highlight w:val="none"/>
        </w:rPr>
        <w:t>10</w:t>
      </w:r>
      <w:r>
        <w:rPr>
          <w:rStyle w:val="10"/>
          <w:rFonts w:hint="eastAsia" w:ascii="仿宋_GB2312" w:hAnsi="宋体" w:eastAsia="仿宋_GB2312"/>
          <w:color w:val="000000"/>
          <w:sz w:val="32"/>
          <w:szCs w:val="32"/>
          <w:highlight w:val="none"/>
        </w:rPr>
        <w:t>分。</w:t>
      </w:r>
    </w:p>
    <w:p w14:paraId="7A4C2033">
      <w:pPr>
        <w:ind w:firstLine="640" w:firstLineChars="200"/>
        <w:rPr>
          <w:rStyle w:val="10"/>
          <w:rFonts w:ascii="仿宋_GB2312" w:hAnsi="宋体" w:eastAsia="仿宋_GB2312"/>
          <w:color w:val="000000"/>
          <w:sz w:val="32"/>
          <w:szCs w:val="32"/>
          <w:highlight w:val="none"/>
        </w:rPr>
      </w:pPr>
      <w:r>
        <w:rPr>
          <w:rStyle w:val="10"/>
          <w:rFonts w:hint="eastAsia" w:ascii="仿宋_GB2312" w:hAnsi="宋体" w:eastAsia="仿宋_GB2312"/>
          <w:color w:val="000000"/>
          <w:sz w:val="32"/>
          <w:szCs w:val="32"/>
          <w:highlight w:val="none"/>
        </w:rPr>
        <w:t>2.</w:t>
      </w:r>
      <w:r>
        <w:rPr>
          <w:rFonts w:ascii="仿宋_GB2312" w:hAnsi="宋体" w:eastAsia="仿宋_GB2312"/>
          <w:color w:val="000000"/>
          <w:sz w:val="32"/>
          <w:szCs w:val="32"/>
          <w:highlight w:val="none"/>
        </w:rPr>
        <w:t xml:space="preserve"> </w:t>
      </w:r>
      <w:r>
        <w:rPr>
          <w:rStyle w:val="10"/>
          <w:rFonts w:ascii="仿宋_GB2312" w:hAnsi="宋体" w:eastAsia="仿宋_GB2312"/>
          <w:color w:val="000000"/>
          <w:sz w:val="32"/>
          <w:szCs w:val="32"/>
          <w:highlight w:val="none"/>
        </w:rPr>
        <w:t>本年度评为校文明寝室的寝室长分别加6分，其余成员加4</w:t>
      </w:r>
      <w:r>
        <w:rPr>
          <w:rStyle w:val="10"/>
          <w:rFonts w:hint="eastAsia" w:ascii="仿宋_GB2312" w:hAnsi="宋体" w:eastAsia="仿宋_GB2312"/>
          <w:color w:val="000000"/>
          <w:sz w:val="32"/>
          <w:szCs w:val="32"/>
          <w:highlight w:val="none"/>
        </w:rPr>
        <w:t>分</w:t>
      </w:r>
      <w:r>
        <w:rPr>
          <w:rStyle w:val="10"/>
          <w:rFonts w:ascii="仿宋_GB2312" w:hAnsi="宋体" w:eastAsia="仿宋_GB2312"/>
          <w:color w:val="000000"/>
          <w:sz w:val="32"/>
          <w:szCs w:val="32"/>
          <w:highlight w:val="none"/>
        </w:rPr>
        <w:t>。</w:t>
      </w:r>
    </w:p>
    <w:p w14:paraId="3B9646FA">
      <w:pPr>
        <w:ind w:firstLine="640" w:firstLineChars="200"/>
        <w:rPr>
          <w:rStyle w:val="10"/>
          <w:rFonts w:ascii="仿宋_GB2312" w:hAnsi="宋体" w:eastAsia="仿宋_GB2312"/>
          <w:color w:val="000000"/>
          <w:sz w:val="32"/>
          <w:szCs w:val="32"/>
          <w:highlight w:val="none"/>
        </w:rPr>
      </w:pPr>
      <w:r>
        <w:rPr>
          <w:rStyle w:val="10"/>
          <w:rFonts w:hint="eastAsia" w:ascii="仿宋_GB2312" w:hAnsi="宋体" w:eastAsia="仿宋_GB2312"/>
          <w:color w:val="000000"/>
          <w:sz w:val="32"/>
          <w:szCs w:val="32"/>
          <w:highlight w:val="none"/>
        </w:rPr>
        <w:t>3.</w:t>
      </w:r>
      <w:r>
        <w:rPr>
          <w:rFonts w:ascii="仿宋_GB2312" w:hAnsi="宋体" w:eastAsia="仿宋_GB2312"/>
          <w:color w:val="000000"/>
          <w:sz w:val="32"/>
          <w:szCs w:val="32"/>
          <w:highlight w:val="none"/>
        </w:rPr>
        <w:t xml:space="preserve"> </w:t>
      </w:r>
      <w:r>
        <w:rPr>
          <w:rStyle w:val="10"/>
          <w:rFonts w:ascii="仿宋_GB2312" w:hAnsi="宋体" w:eastAsia="仿宋_GB2312"/>
          <w:color w:val="000000"/>
          <w:sz w:val="32"/>
          <w:szCs w:val="32"/>
          <w:highlight w:val="none"/>
        </w:rPr>
        <w:t>寝室卫生评比获校级通报表扬的，每次寝室长加6分，寝室成员加4分，最多加20分；院级通报表扬的，每次每人加3分，最多加15分；</w:t>
      </w:r>
    </w:p>
    <w:p w14:paraId="428A784D">
      <w:pPr>
        <w:ind w:firstLine="640" w:firstLineChars="200"/>
        <w:rPr>
          <w:rStyle w:val="10"/>
          <w:rFonts w:ascii="仿宋_GB2312" w:hAnsi="宋体" w:eastAsia="仿宋_GB2312"/>
          <w:color w:val="000000"/>
          <w:sz w:val="32"/>
          <w:szCs w:val="32"/>
          <w:highlight w:val="none"/>
        </w:rPr>
      </w:pPr>
      <w:r>
        <w:rPr>
          <w:rStyle w:val="10"/>
          <w:rFonts w:hint="eastAsia" w:ascii="仿宋_GB2312" w:hAnsi="宋体" w:eastAsia="仿宋_GB2312"/>
          <w:color w:val="000000"/>
          <w:sz w:val="32"/>
          <w:szCs w:val="32"/>
          <w:highlight w:val="none"/>
        </w:rPr>
        <w:t>4.</w:t>
      </w:r>
      <w:r>
        <w:rPr>
          <w:rFonts w:ascii="仿宋_GB2312" w:hAnsi="宋体" w:eastAsia="仿宋_GB2312"/>
          <w:color w:val="000000"/>
          <w:sz w:val="32"/>
          <w:szCs w:val="32"/>
          <w:highlight w:val="none"/>
        </w:rPr>
        <w:t xml:space="preserve"> </w:t>
      </w:r>
      <w:r>
        <w:rPr>
          <w:rStyle w:val="10"/>
          <w:rFonts w:ascii="仿宋_GB2312" w:hAnsi="宋体" w:eastAsia="仿宋_GB2312"/>
          <w:color w:val="000000"/>
          <w:sz w:val="32"/>
          <w:szCs w:val="32"/>
          <w:highlight w:val="none"/>
        </w:rPr>
        <w:t>“文化、科技、卫生‘三下乡’”、</w:t>
      </w:r>
      <w:r>
        <w:rPr>
          <w:rStyle w:val="10"/>
          <w:rFonts w:hint="eastAsia" w:ascii="仿宋_GB2312" w:hAnsi="宋体" w:eastAsia="仿宋_GB2312"/>
          <w:color w:val="000000"/>
          <w:sz w:val="32"/>
          <w:szCs w:val="32"/>
          <w:highlight w:val="none"/>
        </w:rPr>
        <w:t>博士村长</w:t>
      </w:r>
      <w:r>
        <w:rPr>
          <w:rStyle w:val="10"/>
          <w:rFonts w:ascii="仿宋_GB2312" w:hAnsi="宋体" w:eastAsia="仿宋_GB2312"/>
          <w:color w:val="000000"/>
          <w:sz w:val="32"/>
          <w:szCs w:val="32"/>
          <w:highlight w:val="none"/>
        </w:rPr>
        <w:t>等社会实践活动</w:t>
      </w:r>
      <w:r>
        <w:rPr>
          <w:rStyle w:val="10"/>
          <w:rFonts w:hint="eastAsia" w:ascii="仿宋_GB2312" w:hAnsi="宋体" w:eastAsia="仿宋_GB2312"/>
          <w:color w:val="000000"/>
          <w:sz w:val="32"/>
          <w:szCs w:val="32"/>
          <w:highlight w:val="none"/>
        </w:rPr>
        <w:t>获奖的，加分标准如下：</w:t>
      </w:r>
    </w:p>
    <w:p w14:paraId="2A6D9480">
      <w:pPr>
        <w:spacing w:beforeLines="50" w:line="560" w:lineRule="exact"/>
        <w:jc w:val="center"/>
        <w:rPr>
          <w:rStyle w:val="10"/>
          <w:rFonts w:ascii="仿宋" w:hAnsi="仿宋" w:eastAsia="仿宋" w:cs="仿宋"/>
          <w:b/>
          <w:sz w:val="28"/>
          <w:szCs w:val="32"/>
          <w:highlight w:val="none"/>
        </w:rPr>
      </w:pPr>
      <w:r>
        <w:rPr>
          <w:rFonts w:hint="eastAsia" w:ascii="仿宋" w:hAnsi="仿宋" w:eastAsia="仿宋" w:cs="仿宋"/>
          <w:b/>
          <w:sz w:val="28"/>
          <w:szCs w:val="32"/>
          <w:highlight w:val="none"/>
        </w:rPr>
        <w:t>社会实践活动获奖评分标准</w:t>
      </w:r>
    </w:p>
    <w:tbl>
      <w:tblPr>
        <w:tblStyle w:val="6"/>
        <w:tblpPr w:leftFromText="180" w:rightFromText="180" w:vertAnchor="text" w:horzAnchor="page" w:tblpX="2041" w:tblpY="286"/>
        <w:tblOverlap w:val="never"/>
        <w:tblW w:w="8036" w:type="dxa"/>
        <w:tblInd w:w="0" w:type="dxa"/>
        <w:tblLayout w:type="fixed"/>
        <w:tblCellMar>
          <w:top w:w="0" w:type="dxa"/>
          <w:left w:w="0" w:type="dxa"/>
          <w:bottom w:w="0" w:type="dxa"/>
          <w:right w:w="0" w:type="dxa"/>
        </w:tblCellMar>
      </w:tblPr>
      <w:tblGrid>
        <w:gridCol w:w="1918"/>
        <w:gridCol w:w="1408"/>
        <w:gridCol w:w="1545"/>
        <w:gridCol w:w="1575"/>
        <w:gridCol w:w="1590"/>
      </w:tblGrid>
      <w:tr w14:paraId="6E2F4BE1">
        <w:tblPrEx>
          <w:tblCellMar>
            <w:top w:w="0" w:type="dxa"/>
            <w:left w:w="0" w:type="dxa"/>
            <w:bottom w:w="0" w:type="dxa"/>
            <w:right w:w="0" w:type="dxa"/>
          </w:tblCellMar>
        </w:tblPrEx>
        <w:trPr>
          <w:trHeight w:val="575" w:hRule="atLeast"/>
        </w:trPr>
        <w:tc>
          <w:tcPr>
            <w:tcW w:w="1918" w:type="dxa"/>
            <w:tcBorders>
              <w:top w:val="single" w:color="auto" w:sz="8" w:space="0"/>
              <w:left w:val="single" w:color="auto" w:sz="4" w:space="0"/>
              <w:bottom w:val="single" w:color="auto" w:sz="4" w:space="0"/>
              <w:right w:val="single" w:color="auto" w:sz="4" w:space="0"/>
              <w:tl2br w:val="single" w:color="auto" w:sz="4" w:space="0"/>
            </w:tcBorders>
            <w:tcMar>
              <w:top w:w="0" w:type="dxa"/>
              <w:left w:w="108" w:type="dxa"/>
              <w:bottom w:w="0" w:type="dxa"/>
              <w:right w:w="108" w:type="dxa"/>
            </w:tcMar>
            <w:vAlign w:val="center"/>
          </w:tcPr>
          <w:p w14:paraId="5CB05AD2">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等次</w:t>
            </w:r>
          </w:p>
          <w:p w14:paraId="1DB9F954">
            <w:pPr>
              <w:spacing w:line="560" w:lineRule="exact"/>
              <w:rPr>
                <w:rFonts w:ascii="仿宋" w:hAnsi="仿宋" w:eastAsia="仿宋" w:cs="仿宋"/>
                <w:sz w:val="28"/>
                <w:szCs w:val="28"/>
                <w:highlight w:val="none"/>
              </w:rPr>
            </w:pPr>
            <w:r>
              <w:rPr>
                <w:rFonts w:hint="eastAsia" w:ascii="仿宋" w:hAnsi="仿宋" w:eastAsia="仿宋" w:cs="仿宋"/>
                <w:sz w:val="28"/>
                <w:szCs w:val="28"/>
                <w:highlight w:val="none"/>
              </w:rPr>
              <w:t>获奖级别</w:t>
            </w:r>
          </w:p>
        </w:tc>
        <w:tc>
          <w:tcPr>
            <w:tcW w:w="1408"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873633">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一等奖</w:t>
            </w:r>
          </w:p>
        </w:tc>
        <w:tc>
          <w:tcPr>
            <w:tcW w:w="1545"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44F9A3D">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二等奖</w:t>
            </w:r>
          </w:p>
        </w:tc>
        <w:tc>
          <w:tcPr>
            <w:tcW w:w="1575"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B2C0DBA">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三等奖</w:t>
            </w:r>
          </w:p>
        </w:tc>
        <w:tc>
          <w:tcPr>
            <w:tcW w:w="1590"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2E88BA">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优秀奖</w:t>
            </w:r>
          </w:p>
        </w:tc>
      </w:tr>
      <w:tr w14:paraId="0865EEEE">
        <w:tblPrEx>
          <w:tblCellMar>
            <w:top w:w="0" w:type="dxa"/>
            <w:left w:w="0" w:type="dxa"/>
            <w:bottom w:w="0" w:type="dxa"/>
            <w:right w:w="0" w:type="dxa"/>
          </w:tblCellMar>
        </w:tblPrEx>
        <w:trPr>
          <w:trHeight w:val="361" w:hRule="atLeast"/>
        </w:trPr>
        <w:tc>
          <w:tcPr>
            <w:tcW w:w="1918"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D5C2E9">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国际级</w:t>
            </w:r>
          </w:p>
        </w:tc>
        <w:tc>
          <w:tcPr>
            <w:tcW w:w="1408"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3BC3EF">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30</w:t>
            </w:r>
          </w:p>
        </w:tc>
        <w:tc>
          <w:tcPr>
            <w:tcW w:w="1545"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C980F5">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25</w:t>
            </w:r>
          </w:p>
        </w:tc>
        <w:tc>
          <w:tcPr>
            <w:tcW w:w="1575"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A4460B">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20</w:t>
            </w:r>
          </w:p>
        </w:tc>
        <w:tc>
          <w:tcPr>
            <w:tcW w:w="1590"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353D42">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15</w:t>
            </w:r>
          </w:p>
        </w:tc>
      </w:tr>
      <w:tr w14:paraId="2DDD2218">
        <w:tblPrEx>
          <w:tblCellMar>
            <w:top w:w="0" w:type="dxa"/>
            <w:left w:w="0" w:type="dxa"/>
            <w:bottom w:w="0" w:type="dxa"/>
            <w:right w:w="0" w:type="dxa"/>
          </w:tblCellMar>
        </w:tblPrEx>
        <w:trPr>
          <w:trHeight w:val="361" w:hRule="atLeast"/>
        </w:trPr>
        <w:tc>
          <w:tcPr>
            <w:tcW w:w="1918"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AAEA8D">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国家级</w:t>
            </w:r>
          </w:p>
        </w:tc>
        <w:tc>
          <w:tcPr>
            <w:tcW w:w="1408"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2F8804">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25</w:t>
            </w:r>
          </w:p>
        </w:tc>
        <w:tc>
          <w:tcPr>
            <w:tcW w:w="1545"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A31625">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20</w:t>
            </w:r>
          </w:p>
        </w:tc>
        <w:tc>
          <w:tcPr>
            <w:tcW w:w="1575"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1B6FFC">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1590" w:type="dxa"/>
            <w:tcBorders>
              <w:top w:val="single" w:color="auto" w:sz="6"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421514">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10</w:t>
            </w:r>
          </w:p>
        </w:tc>
      </w:tr>
      <w:tr w14:paraId="4F449480">
        <w:tblPrEx>
          <w:tblCellMar>
            <w:top w:w="0" w:type="dxa"/>
            <w:left w:w="0" w:type="dxa"/>
            <w:bottom w:w="0" w:type="dxa"/>
            <w:right w:w="0" w:type="dxa"/>
          </w:tblCellMar>
        </w:tblPrEx>
        <w:trPr>
          <w:trHeight w:val="417" w:hRule="atLeast"/>
        </w:trPr>
        <w:tc>
          <w:tcPr>
            <w:tcW w:w="19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2B453C">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省部级</w:t>
            </w:r>
          </w:p>
        </w:tc>
        <w:tc>
          <w:tcPr>
            <w:tcW w:w="14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E3B2C4">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20</w:t>
            </w:r>
          </w:p>
        </w:tc>
        <w:tc>
          <w:tcPr>
            <w:tcW w:w="15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568A5A">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65F39C">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1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A88005">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r>
      <w:tr w14:paraId="5878BE40">
        <w:tblPrEx>
          <w:tblCellMar>
            <w:top w:w="0" w:type="dxa"/>
            <w:left w:w="0" w:type="dxa"/>
            <w:bottom w:w="0" w:type="dxa"/>
            <w:right w:w="0" w:type="dxa"/>
          </w:tblCellMar>
        </w:tblPrEx>
        <w:trPr>
          <w:trHeight w:val="342" w:hRule="atLeast"/>
        </w:trPr>
        <w:tc>
          <w:tcPr>
            <w:tcW w:w="19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5437B4">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市校级</w:t>
            </w:r>
          </w:p>
        </w:tc>
        <w:tc>
          <w:tcPr>
            <w:tcW w:w="14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39E86C">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15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4F5702F">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9BA723">
            <w:pPr>
              <w:spacing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1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08A985E">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r>
      <w:tr w14:paraId="78ED231F">
        <w:tblPrEx>
          <w:tblCellMar>
            <w:top w:w="0" w:type="dxa"/>
            <w:left w:w="0" w:type="dxa"/>
            <w:bottom w:w="0" w:type="dxa"/>
            <w:right w:w="0" w:type="dxa"/>
          </w:tblCellMar>
        </w:tblPrEx>
        <w:trPr>
          <w:trHeight w:val="307" w:hRule="atLeast"/>
        </w:trPr>
        <w:tc>
          <w:tcPr>
            <w:tcW w:w="19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549E52">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院级</w:t>
            </w:r>
          </w:p>
        </w:tc>
        <w:tc>
          <w:tcPr>
            <w:tcW w:w="14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B5505C">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15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7D9DBA">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CB9052">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5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60843A">
            <w:pPr>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r>
    </w:tbl>
    <w:p w14:paraId="5D439087">
      <w:pPr>
        <w:spacing w:beforeLines="50" w:line="5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注：各级别的分值可以累计，某一类活动数项获奖取最高一项，。以上各项均应有正式证明或有关部门核准方可加分。实践队负责人或队长加分按获奖项目所对应分值计算，其余成员分值减半计算。</w:t>
      </w:r>
    </w:p>
    <w:p w14:paraId="1AE8DB0E">
      <w:pPr>
        <w:spacing w:beforeLines="50" w:line="560" w:lineRule="exact"/>
        <w:ind w:firstLine="643" w:firstLineChars="200"/>
        <w:rPr>
          <w:rFonts w:ascii="仿宋_GB2312" w:hAnsi="仿宋" w:eastAsia="仿宋_GB2312" w:cs="仿宋"/>
          <w:b/>
          <w:sz w:val="32"/>
          <w:szCs w:val="32"/>
          <w:highlight w:val="none"/>
        </w:rPr>
      </w:pPr>
    </w:p>
    <w:p w14:paraId="3517EAA9">
      <w:pPr>
        <w:spacing w:line="560" w:lineRule="exact"/>
        <w:ind w:firstLine="643" w:firstLineChars="200"/>
        <w:rPr>
          <w:rStyle w:val="10"/>
          <w:rFonts w:ascii="仿宋_GB2312" w:hAnsi="宋体" w:eastAsia="仿宋_GB2312"/>
          <w:color w:val="000000"/>
          <w:sz w:val="32"/>
          <w:szCs w:val="32"/>
          <w:highlight w:val="none"/>
        </w:rPr>
      </w:pPr>
      <w:r>
        <w:rPr>
          <w:rFonts w:hint="eastAsia" w:ascii="仿宋_GB2312" w:hAnsi="仿宋" w:eastAsia="仿宋_GB2312" w:cs="仿宋"/>
          <w:b/>
          <w:sz w:val="32"/>
          <w:szCs w:val="32"/>
          <w:highlight w:val="none"/>
        </w:rPr>
        <w:t xml:space="preserve">第二十六条 </w:t>
      </w:r>
      <w:r>
        <w:rPr>
          <w:rStyle w:val="10"/>
          <w:rFonts w:ascii="仿宋_GB2312" w:hAnsi="宋体" w:eastAsia="仿宋_GB2312"/>
          <w:color w:val="000000"/>
          <w:sz w:val="32"/>
          <w:szCs w:val="32"/>
          <w:highlight w:val="none"/>
        </w:rPr>
        <w:t>劳动教育扣分</w:t>
      </w:r>
    </w:p>
    <w:p w14:paraId="06E42637">
      <w:pPr>
        <w:spacing w:line="560" w:lineRule="exact"/>
        <w:ind w:firstLine="640" w:firstLineChars="200"/>
        <w:rPr>
          <w:rStyle w:val="10"/>
          <w:rFonts w:ascii="仿宋_GB2312" w:hAnsi="宋体" w:eastAsia="仿宋_GB2312"/>
          <w:color w:val="000000"/>
          <w:sz w:val="32"/>
          <w:szCs w:val="32"/>
          <w:highlight w:val="none"/>
        </w:rPr>
      </w:pPr>
      <w:r>
        <w:rPr>
          <w:rStyle w:val="10"/>
          <w:rFonts w:ascii="仿宋_GB2312" w:hAnsi="宋体" w:eastAsia="仿宋_GB2312"/>
          <w:color w:val="000000"/>
          <w:sz w:val="32"/>
          <w:szCs w:val="32"/>
          <w:highlight w:val="none"/>
        </w:rPr>
        <w:t>1.在校、院卫生检查中不合格寝室的成员每次扣3分，寝室长每次扣5分。</w:t>
      </w:r>
    </w:p>
    <w:p w14:paraId="18DBD19C">
      <w:pPr>
        <w:spacing w:line="560" w:lineRule="exact"/>
        <w:ind w:firstLine="640" w:firstLineChars="200"/>
        <w:rPr>
          <w:rStyle w:val="10"/>
          <w:rFonts w:ascii="仿宋_GB2312" w:hAnsi="宋体" w:eastAsia="仿宋_GB2312"/>
          <w:color w:val="000000"/>
          <w:sz w:val="32"/>
          <w:szCs w:val="32"/>
          <w:highlight w:val="none"/>
        </w:rPr>
      </w:pPr>
      <w:r>
        <w:rPr>
          <w:rStyle w:val="10"/>
          <w:rFonts w:ascii="仿宋_GB2312" w:hAnsi="宋体" w:eastAsia="仿宋_GB2312"/>
          <w:color w:val="000000"/>
          <w:sz w:val="32"/>
          <w:szCs w:val="32"/>
          <w:highlight w:val="none"/>
        </w:rPr>
        <w:t>2.受通报批评的“脏乱差”寝室成员每次扣4分，</w:t>
      </w:r>
      <w:r>
        <w:rPr>
          <w:rStyle w:val="10"/>
          <w:rFonts w:hint="eastAsia" w:ascii="仿宋_GB2312" w:hAnsi="宋体" w:eastAsia="仿宋_GB2312"/>
          <w:color w:val="000000"/>
          <w:sz w:val="32"/>
          <w:szCs w:val="32"/>
          <w:highlight w:val="none"/>
        </w:rPr>
        <w:t>宿舍层长</w:t>
      </w:r>
      <w:r>
        <w:rPr>
          <w:rStyle w:val="10"/>
          <w:rFonts w:ascii="仿宋_GB2312" w:hAnsi="宋体" w:eastAsia="仿宋_GB2312"/>
          <w:color w:val="000000"/>
          <w:sz w:val="32"/>
          <w:szCs w:val="32"/>
          <w:highlight w:val="none"/>
        </w:rPr>
        <w:t>与寝室长每次扣6分。</w:t>
      </w:r>
    </w:p>
    <w:p w14:paraId="265BBDFE">
      <w:pPr>
        <w:spacing w:line="560" w:lineRule="exact"/>
        <w:ind w:firstLine="640" w:firstLineChars="200"/>
        <w:rPr>
          <w:rStyle w:val="10"/>
          <w:rFonts w:ascii="仿宋_GB2312" w:hAnsi="宋体" w:eastAsia="仿宋_GB2312"/>
          <w:color w:val="000000"/>
          <w:sz w:val="32"/>
          <w:szCs w:val="32"/>
          <w:highlight w:val="none"/>
        </w:rPr>
      </w:pPr>
    </w:p>
    <w:p w14:paraId="6C7393EE">
      <w:pPr>
        <w:spacing w:line="520" w:lineRule="exact"/>
        <w:ind w:firstLine="643" w:firstLineChars="200"/>
        <w:jc w:val="center"/>
        <w:rPr>
          <w:rFonts w:ascii="楷体_GB2312" w:hAnsi="宋体" w:eastAsia="楷体_GB2312" w:cs="Tahoma"/>
          <w:b/>
          <w:color w:val="000000"/>
          <w:sz w:val="32"/>
          <w:szCs w:val="32"/>
          <w:highlight w:val="none"/>
        </w:rPr>
      </w:pPr>
      <w:r>
        <w:rPr>
          <w:rFonts w:hint="eastAsia" w:ascii="黑体" w:hAnsi="黑体" w:eastAsia="黑体" w:cs="仿宋"/>
          <w:b/>
          <w:bCs/>
          <w:sz w:val="32"/>
          <w:szCs w:val="32"/>
          <w:highlight w:val="none"/>
        </w:rPr>
        <w:t xml:space="preserve">第十章 </w:t>
      </w:r>
      <w:r>
        <w:rPr>
          <w:rFonts w:ascii="黑体" w:hAnsi="黑体" w:eastAsia="黑体" w:cs="仿宋"/>
          <w:b/>
          <w:bCs/>
          <w:sz w:val="32"/>
          <w:szCs w:val="32"/>
          <w:highlight w:val="none"/>
        </w:rPr>
        <w:t>组织管理</w:t>
      </w:r>
    </w:p>
    <w:p w14:paraId="1F9CB89B">
      <w:pPr>
        <w:spacing w:line="360" w:lineRule="auto"/>
        <w:ind w:firstLine="643" w:firstLineChars="200"/>
        <w:rPr>
          <w:rFonts w:ascii="Times New Roman" w:hAnsi="Times New Roman" w:eastAsia="仿宋"/>
          <w:sz w:val="32"/>
          <w:szCs w:val="32"/>
          <w:highlight w:val="none"/>
        </w:rPr>
      </w:pPr>
      <w:r>
        <w:rPr>
          <w:rFonts w:hint="eastAsia" w:ascii="仿宋" w:hAnsi="仿宋" w:eastAsia="仿宋" w:cs="仿宋"/>
          <w:b/>
          <w:bCs/>
          <w:sz w:val="32"/>
          <w:szCs w:val="32"/>
          <w:highlight w:val="none"/>
        </w:rPr>
        <w:t xml:space="preserve">第二十七条 </w:t>
      </w:r>
      <w:r>
        <w:rPr>
          <w:rFonts w:ascii="Times New Roman" w:hAnsi="Times New Roman" w:eastAsia="仿宋"/>
          <w:sz w:val="32"/>
          <w:szCs w:val="32"/>
          <w:highlight w:val="none"/>
        </w:rPr>
        <w:t>学院成立研究生学业奖学金评</w:t>
      </w:r>
      <w:r>
        <w:rPr>
          <w:rFonts w:hint="eastAsia" w:ascii="Times New Roman" w:hAnsi="Times New Roman" w:eastAsia="仿宋"/>
          <w:sz w:val="32"/>
          <w:szCs w:val="32"/>
          <w:highlight w:val="none"/>
        </w:rPr>
        <w:t>审领导</w:t>
      </w:r>
      <w:r>
        <w:rPr>
          <w:rFonts w:ascii="Times New Roman" w:hAnsi="Times New Roman" w:eastAsia="仿宋"/>
          <w:sz w:val="32"/>
          <w:szCs w:val="32"/>
          <w:highlight w:val="none"/>
        </w:rPr>
        <w:t>小组</w:t>
      </w:r>
      <w:r>
        <w:rPr>
          <w:rFonts w:hint="eastAsia" w:ascii="Times New Roman" w:hAnsi="Times New Roman" w:eastAsia="仿宋"/>
          <w:sz w:val="32"/>
          <w:szCs w:val="32"/>
          <w:highlight w:val="none"/>
        </w:rPr>
        <w:t>，</w:t>
      </w:r>
      <w:r>
        <w:rPr>
          <w:rFonts w:ascii="Times New Roman" w:hAnsi="Times New Roman" w:eastAsia="仿宋"/>
          <w:sz w:val="32"/>
          <w:szCs w:val="32"/>
          <w:highlight w:val="none"/>
        </w:rPr>
        <w:t>小组成员由院长、导师代表</w:t>
      </w:r>
      <w:r>
        <w:rPr>
          <w:rFonts w:hint="eastAsia" w:ascii="Times New Roman" w:hAnsi="Times New Roman" w:eastAsia="仿宋"/>
          <w:sz w:val="32"/>
          <w:szCs w:val="32"/>
          <w:highlight w:val="none"/>
        </w:rPr>
        <w:t>、</w:t>
      </w:r>
      <w:r>
        <w:rPr>
          <w:rFonts w:ascii="Times New Roman" w:hAnsi="Times New Roman" w:eastAsia="仿宋"/>
          <w:sz w:val="32"/>
          <w:szCs w:val="32"/>
          <w:highlight w:val="none"/>
        </w:rPr>
        <w:t>研究生管理人员和学生代表组成</w:t>
      </w:r>
      <w:r>
        <w:rPr>
          <w:rFonts w:hint="eastAsia" w:ascii="Times New Roman" w:hAnsi="Times New Roman" w:eastAsia="仿宋"/>
          <w:sz w:val="32"/>
          <w:szCs w:val="32"/>
          <w:highlight w:val="none"/>
        </w:rPr>
        <w:t>。</w:t>
      </w:r>
      <w:r>
        <w:rPr>
          <w:rFonts w:hint="eastAsia" w:ascii="仿宋" w:hAnsi="仿宋" w:eastAsia="仿宋" w:cs="仿宋"/>
          <w:sz w:val="32"/>
          <w:szCs w:val="32"/>
          <w:highlight w:val="none"/>
        </w:rPr>
        <w:t>学院奖学金评定纪检小组</w:t>
      </w:r>
      <w:r>
        <w:rPr>
          <w:rFonts w:hint="eastAsia" w:ascii="Times New Roman" w:hAnsi="Times New Roman" w:eastAsia="仿宋"/>
          <w:sz w:val="32"/>
          <w:szCs w:val="32"/>
          <w:highlight w:val="none"/>
        </w:rPr>
        <w:t>由党委书记、党委副书记组成</w:t>
      </w:r>
      <w:r>
        <w:rPr>
          <w:rFonts w:ascii="Times New Roman" w:hAnsi="Times New Roman" w:eastAsia="仿宋"/>
          <w:sz w:val="32"/>
          <w:szCs w:val="32"/>
          <w:highlight w:val="none"/>
        </w:rPr>
        <w:t>。评</w:t>
      </w:r>
      <w:r>
        <w:rPr>
          <w:rFonts w:hint="eastAsia" w:ascii="Times New Roman" w:hAnsi="Times New Roman" w:eastAsia="仿宋"/>
          <w:sz w:val="32"/>
          <w:szCs w:val="32"/>
          <w:highlight w:val="none"/>
        </w:rPr>
        <w:t>审领导</w:t>
      </w:r>
      <w:r>
        <w:rPr>
          <w:rFonts w:ascii="Times New Roman" w:hAnsi="Times New Roman" w:eastAsia="仿宋"/>
          <w:sz w:val="32"/>
          <w:szCs w:val="32"/>
          <w:highlight w:val="none"/>
        </w:rPr>
        <w:t>小组根据本评定细则及学校当年评定工作通知组织实施奖学金的评定工作。</w:t>
      </w:r>
      <w:r>
        <w:rPr>
          <w:rFonts w:hint="eastAsia" w:ascii="Times New Roman" w:hAnsi="Times New Roman" w:eastAsia="仿宋"/>
          <w:sz w:val="32"/>
          <w:szCs w:val="32"/>
          <w:highlight w:val="none"/>
        </w:rPr>
        <w:t>纪检组</w:t>
      </w:r>
      <w:r>
        <w:rPr>
          <w:rFonts w:ascii="Times New Roman" w:hAnsi="Times New Roman" w:eastAsia="仿宋"/>
          <w:sz w:val="32"/>
          <w:szCs w:val="32"/>
          <w:highlight w:val="none"/>
        </w:rPr>
        <w:t>负责对评</w:t>
      </w:r>
      <w:r>
        <w:rPr>
          <w:rFonts w:hint="eastAsia" w:ascii="Times New Roman" w:hAnsi="Times New Roman" w:eastAsia="仿宋"/>
          <w:sz w:val="32"/>
          <w:szCs w:val="32"/>
          <w:highlight w:val="none"/>
        </w:rPr>
        <w:t>审领导</w:t>
      </w:r>
      <w:r>
        <w:rPr>
          <w:rFonts w:ascii="Times New Roman" w:hAnsi="Times New Roman" w:eastAsia="仿宋"/>
          <w:sz w:val="32"/>
          <w:szCs w:val="32"/>
          <w:highlight w:val="none"/>
        </w:rPr>
        <w:t>小组的工作过程及结果进行监督审核。</w:t>
      </w:r>
    </w:p>
    <w:p w14:paraId="07AC9550">
      <w:pPr>
        <w:spacing w:line="360" w:lineRule="auto"/>
        <w:ind w:firstLine="640" w:firstLineChars="200"/>
        <w:rPr>
          <w:rFonts w:ascii="Times New Roman" w:hAnsi="Times New Roman" w:eastAsia="仿宋"/>
          <w:sz w:val="32"/>
          <w:szCs w:val="32"/>
          <w:highlight w:val="none"/>
        </w:rPr>
      </w:pPr>
    </w:p>
    <w:p w14:paraId="2F6A795E">
      <w:pPr>
        <w:spacing w:line="520" w:lineRule="exact"/>
        <w:ind w:firstLine="643" w:firstLineChars="200"/>
        <w:jc w:val="center"/>
        <w:rPr>
          <w:rFonts w:ascii="楷体_GB2312" w:hAnsi="宋体" w:eastAsia="楷体_GB2312" w:cs="Tahoma"/>
          <w:b/>
          <w:color w:val="000000"/>
          <w:sz w:val="32"/>
          <w:szCs w:val="32"/>
          <w:highlight w:val="none"/>
        </w:rPr>
      </w:pPr>
      <w:r>
        <w:rPr>
          <w:rFonts w:hint="eastAsia" w:ascii="黑体" w:hAnsi="黑体" w:eastAsia="黑体" w:cs="仿宋"/>
          <w:b/>
          <w:bCs/>
          <w:sz w:val="32"/>
          <w:szCs w:val="32"/>
          <w:highlight w:val="none"/>
        </w:rPr>
        <w:t xml:space="preserve">第十一章 </w:t>
      </w:r>
      <w:r>
        <w:rPr>
          <w:rFonts w:ascii="黑体" w:hAnsi="黑体" w:eastAsia="黑体" w:cs="仿宋"/>
          <w:b/>
          <w:bCs/>
          <w:sz w:val="32"/>
          <w:szCs w:val="32"/>
          <w:highlight w:val="none"/>
        </w:rPr>
        <w:t>评定时间和程序</w:t>
      </w:r>
    </w:p>
    <w:p w14:paraId="041E3CEF">
      <w:pPr>
        <w:spacing w:line="360" w:lineRule="auto"/>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第二十八条</w:t>
      </w:r>
      <w:r>
        <w:rPr>
          <w:rFonts w:hint="eastAsia" w:ascii="仿宋" w:hAnsi="仿宋" w:eastAsia="仿宋" w:cs="仿宋"/>
          <w:sz w:val="32"/>
          <w:szCs w:val="32"/>
          <w:highlight w:val="none"/>
        </w:rPr>
        <w:t xml:space="preserve"> 评定时间：具体以当年学校奖学金评定工作安排通知为准。</w:t>
      </w:r>
    </w:p>
    <w:p w14:paraId="4A6060B7">
      <w:pPr>
        <w:spacing w:line="360" w:lineRule="auto"/>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第二十九条</w:t>
      </w:r>
      <w:r>
        <w:rPr>
          <w:rFonts w:hint="eastAsia" w:ascii="仿宋" w:hAnsi="仿宋" w:eastAsia="仿宋" w:cs="仿宋"/>
          <w:sz w:val="32"/>
          <w:szCs w:val="32"/>
          <w:highlight w:val="none"/>
        </w:rPr>
        <w:t xml:space="preserve"> 评定程序：</w:t>
      </w:r>
    </w:p>
    <w:p w14:paraId="21449CE1">
      <w:pPr>
        <w:numPr>
          <w:ilvl w:val="0"/>
          <w:numId w:val="2"/>
        </w:num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学院奖学金评审领导小组将学院奖学金评定细则在学院网站上公布；</w:t>
      </w:r>
    </w:p>
    <w:p w14:paraId="61CB7769">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2、国家奖学金评定由符合申报条件的学生自行申报，由研究生科根据国奖文件进行核实组织评定；</w:t>
      </w:r>
    </w:p>
    <w:p w14:paraId="5B194299">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3、一年级</w:t>
      </w:r>
      <w:r>
        <w:rPr>
          <w:rFonts w:hint="eastAsia" w:ascii="仿宋" w:hAnsi="仿宋" w:eastAsia="仿宋" w:cs="仿宋"/>
          <w:sz w:val="32"/>
          <w:szCs w:val="32"/>
          <w:highlight w:val="none"/>
          <w:lang w:eastAsia="zh-CN"/>
        </w:rPr>
        <w:t>学业</w:t>
      </w:r>
      <w:r>
        <w:rPr>
          <w:rFonts w:hint="eastAsia" w:ascii="仿宋" w:hAnsi="仿宋" w:eastAsia="仿宋" w:cs="仿宋"/>
          <w:sz w:val="32"/>
          <w:szCs w:val="32"/>
          <w:highlight w:val="none"/>
        </w:rPr>
        <w:t>奖学金</w:t>
      </w:r>
      <w:r>
        <w:rPr>
          <w:rFonts w:hint="eastAsia" w:ascii="仿宋" w:hAnsi="仿宋" w:eastAsia="仿宋" w:cs="仿宋"/>
          <w:sz w:val="32"/>
          <w:szCs w:val="32"/>
          <w:highlight w:val="none"/>
          <w:lang w:eastAsia="zh-CN"/>
        </w:rPr>
        <w:t>（新生奖学金）</w:t>
      </w:r>
      <w:r>
        <w:rPr>
          <w:rFonts w:hint="eastAsia" w:ascii="仿宋" w:hAnsi="仿宋" w:eastAsia="仿宋" w:cs="仿宋"/>
          <w:sz w:val="32"/>
          <w:szCs w:val="32"/>
          <w:highlight w:val="none"/>
        </w:rPr>
        <w:t>由符合申报条件的学生自行系统申报，由研究生科根据</w:t>
      </w:r>
      <w:r>
        <w:rPr>
          <w:rFonts w:hint="eastAsia" w:ascii="仿宋" w:hAnsi="仿宋" w:eastAsia="仿宋" w:cs="仿宋"/>
          <w:sz w:val="32"/>
          <w:szCs w:val="32"/>
          <w:highlight w:val="none"/>
          <w:lang w:eastAsia="zh-CN"/>
        </w:rPr>
        <w:t>学生提交</w:t>
      </w:r>
      <w:r>
        <w:rPr>
          <w:rFonts w:hint="eastAsia" w:ascii="仿宋" w:hAnsi="仿宋" w:eastAsia="仿宋" w:cs="仿宋"/>
          <w:sz w:val="32"/>
          <w:szCs w:val="32"/>
          <w:highlight w:val="none"/>
        </w:rPr>
        <w:t>的本科证书材料进行再核实</w:t>
      </w:r>
      <w:r>
        <w:rPr>
          <w:rFonts w:hint="eastAsia" w:ascii="仿宋" w:hAnsi="仿宋" w:eastAsia="仿宋" w:cs="仿宋"/>
          <w:sz w:val="32"/>
          <w:szCs w:val="32"/>
          <w:highlight w:val="none"/>
          <w:lang w:val="en-US" w:eastAsia="zh-CN"/>
        </w:rPr>
        <w:t>,具体按照《公共管理学院研究生一年级学业奖学金评定实施细则》执行</w:t>
      </w:r>
      <w:r>
        <w:rPr>
          <w:rFonts w:hint="eastAsia" w:ascii="仿宋" w:hAnsi="仿宋" w:eastAsia="仿宋" w:cs="仿宋"/>
          <w:sz w:val="32"/>
          <w:szCs w:val="32"/>
          <w:highlight w:val="none"/>
        </w:rPr>
        <w:t>；</w:t>
      </w:r>
    </w:p>
    <w:p w14:paraId="0617BD4E">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4、二、三年级学业奖学金评定流程：（1）对二、三年级研究生，学院组织成立各年级各专业班级奖学金评定小组（3-5人）；（2）研究生个人在研工部系统中填写对应类别奖学金申请，保存提交后打印奖学金申请表 ；（3）班级奖学金评定小组对申请人提供的申请表及支撑材料进行审查，根据学院奖学金评定细则算出全班参评学生综合成绩及排序，并在班级内公示至少3天；（4）班级评定小组全体签名后将排名结果（汇总表）及学生申报材料报送学院研究生科；</w:t>
      </w:r>
    </w:p>
    <w:p w14:paraId="21A2C9DB">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5、学院奖学金评定领导小组对个人及各班上报的奖学金材料进行复审，并根据学校最终下达奖学金金额按专业人数比分配出各专业推荐名额及等级，再按综合排名顺序划出获奖学生名单，最终评选结果挂学院网站公示并上报党委研究生工作部。</w:t>
      </w:r>
    </w:p>
    <w:p w14:paraId="498069B5">
      <w:pPr>
        <w:spacing w:line="360" w:lineRule="auto"/>
        <w:ind w:firstLine="643" w:firstLineChars="200"/>
        <w:rPr>
          <w:rFonts w:ascii="仿宋" w:hAnsi="仿宋" w:eastAsia="仿宋" w:cs="仿宋"/>
          <w:sz w:val="32"/>
          <w:szCs w:val="32"/>
          <w:highlight w:val="none"/>
        </w:rPr>
      </w:pPr>
      <w:r>
        <w:rPr>
          <w:rFonts w:hint="eastAsia" w:ascii="仿宋" w:hAnsi="仿宋" w:eastAsia="仿宋" w:cs="仿宋"/>
          <w:b/>
          <w:bCs/>
          <w:sz w:val="32"/>
          <w:szCs w:val="32"/>
          <w:highlight w:val="none"/>
        </w:rPr>
        <w:t>第三十条</w:t>
      </w:r>
      <w:r>
        <w:rPr>
          <w:rFonts w:ascii="仿宋" w:hAnsi="仿宋" w:eastAsia="仿宋" w:cs="仿宋"/>
          <w:sz w:val="32"/>
          <w:szCs w:val="32"/>
          <w:highlight w:val="none"/>
        </w:rPr>
        <w:t xml:space="preserve"> </w:t>
      </w:r>
      <w:r>
        <w:rPr>
          <w:rFonts w:hint="eastAsia" w:ascii="仿宋" w:hAnsi="仿宋" w:eastAsia="仿宋" w:cs="仿宋"/>
          <w:sz w:val="32"/>
          <w:szCs w:val="32"/>
          <w:highlight w:val="none"/>
        </w:rPr>
        <w:t>公示过程中学院奖学金评定纪检小组只接受异议者的实名书面逐级举报，凡发现有弄虚作假者，取消其当年各类奖学金的评选资格。</w:t>
      </w:r>
    </w:p>
    <w:p w14:paraId="3735EA92">
      <w:pPr>
        <w:jc w:val="center"/>
        <w:rPr>
          <w:rFonts w:ascii="楷体_GB2312" w:hAnsi="仿宋" w:eastAsia="楷体_GB2312"/>
          <w:b/>
          <w:sz w:val="32"/>
          <w:szCs w:val="32"/>
          <w:highlight w:val="none"/>
        </w:rPr>
      </w:pPr>
      <w:r>
        <w:rPr>
          <w:rFonts w:hint="eastAsia" w:ascii="仿宋_GB2312" w:hAnsi="宋体" w:eastAsia="仿宋_GB2312" w:cs="Tahoma"/>
          <w:b/>
          <w:color w:val="000000"/>
          <w:sz w:val="32"/>
          <w:szCs w:val="32"/>
          <w:highlight w:val="none"/>
        </w:rPr>
        <w:t xml:space="preserve"> </w:t>
      </w:r>
      <w:r>
        <w:rPr>
          <w:rFonts w:hint="eastAsia" w:ascii="黑体" w:hAnsi="黑体" w:eastAsia="黑体" w:cs="仿宋"/>
          <w:b/>
          <w:bCs/>
          <w:sz w:val="32"/>
          <w:szCs w:val="32"/>
          <w:highlight w:val="none"/>
        </w:rPr>
        <w:t>第十二章  附  则</w:t>
      </w:r>
    </w:p>
    <w:p w14:paraId="28575E68">
      <w:pPr>
        <w:spacing w:line="360" w:lineRule="auto"/>
        <w:ind w:firstLine="643" w:firstLineChars="200"/>
        <w:rPr>
          <w:rFonts w:ascii="Times New Roman" w:hAnsi="Times New Roman" w:eastAsia="仿宋"/>
          <w:sz w:val="32"/>
          <w:szCs w:val="32"/>
          <w:highlight w:val="none"/>
        </w:rPr>
      </w:pPr>
      <w:r>
        <w:rPr>
          <w:rFonts w:hint="eastAsia" w:ascii="Times New Roman" w:hAnsi="Times New Roman" w:eastAsia="仿宋"/>
          <w:b/>
          <w:bCs/>
          <w:sz w:val="32"/>
          <w:szCs w:val="32"/>
          <w:highlight w:val="none"/>
        </w:rPr>
        <w:t>第三十一条</w:t>
      </w:r>
      <w:r>
        <w:rPr>
          <w:rFonts w:hint="eastAsia" w:ascii="Times New Roman" w:hAnsi="Times New Roman" w:eastAsia="仿宋"/>
          <w:sz w:val="32"/>
          <w:szCs w:val="32"/>
          <w:highlight w:val="none"/>
        </w:rPr>
        <w:t xml:space="preserve"> </w:t>
      </w:r>
      <w:r>
        <w:rPr>
          <w:rFonts w:ascii="Times New Roman" w:hAnsi="Times New Roman" w:eastAsia="仿宋"/>
          <w:sz w:val="32"/>
          <w:szCs w:val="32"/>
          <w:highlight w:val="none"/>
        </w:rPr>
        <w:t>奖学金的评定坚持公平、公正、公开的原则，宁缺毋滥。评定过程中作假者取消当年各类评奖资格，退回奖金</w:t>
      </w:r>
      <w:r>
        <w:rPr>
          <w:rFonts w:hint="eastAsia" w:ascii="Times New Roman" w:hAnsi="Times New Roman" w:eastAsia="仿宋"/>
          <w:sz w:val="32"/>
          <w:szCs w:val="32"/>
          <w:highlight w:val="none"/>
        </w:rPr>
        <w:t>及</w:t>
      </w:r>
      <w:r>
        <w:rPr>
          <w:rFonts w:ascii="Times New Roman" w:hAnsi="Times New Roman" w:eastAsia="仿宋"/>
          <w:sz w:val="32"/>
          <w:szCs w:val="32"/>
          <w:highlight w:val="none"/>
        </w:rPr>
        <w:t>证书并根据学校规定追究相应违纪违规责任。</w:t>
      </w:r>
    </w:p>
    <w:p w14:paraId="2FC90F65">
      <w:pPr>
        <w:spacing w:line="360" w:lineRule="auto"/>
        <w:ind w:firstLine="643" w:firstLineChars="200"/>
        <w:rPr>
          <w:rFonts w:ascii="Times New Roman" w:hAnsi="Times New Roman" w:eastAsia="仿宋"/>
          <w:sz w:val="32"/>
          <w:szCs w:val="32"/>
          <w:highlight w:val="none"/>
        </w:rPr>
      </w:pPr>
      <w:r>
        <w:rPr>
          <w:rFonts w:hint="eastAsia" w:ascii="Times New Roman" w:hAnsi="Times New Roman" w:eastAsia="仿宋"/>
          <w:b/>
          <w:bCs/>
          <w:sz w:val="32"/>
          <w:szCs w:val="32"/>
          <w:highlight w:val="none"/>
        </w:rPr>
        <w:t>第三十二条</w:t>
      </w:r>
      <w:r>
        <w:rPr>
          <w:rFonts w:hint="eastAsia" w:ascii="Times New Roman" w:hAnsi="Times New Roman" w:eastAsia="仿宋"/>
          <w:sz w:val="32"/>
          <w:szCs w:val="32"/>
          <w:highlight w:val="none"/>
        </w:rPr>
        <w:t xml:space="preserve"> </w:t>
      </w:r>
      <w:r>
        <w:rPr>
          <w:rFonts w:ascii="Times New Roman" w:hAnsi="Times New Roman" w:eastAsia="仿宋"/>
          <w:sz w:val="32"/>
          <w:szCs w:val="32"/>
          <w:highlight w:val="none"/>
        </w:rPr>
        <w:t>本《细则》</w:t>
      </w:r>
      <w:r>
        <w:rPr>
          <w:rFonts w:hint="eastAsia" w:ascii="Times New Roman" w:hAnsi="Times New Roman" w:eastAsia="仿宋"/>
          <w:sz w:val="32"/>
          <w:szCs w:val="32"/>
          <w:highlight w:val="none"/>
        </w:rPr>
        <w:t>自发布之日起生效</w:t>
      </w:r>
      <w:r>
        <w:rPr>
          <w:rFonts w:ascii="Times New Roman" w:hAnsi="Times New Roman" w:eastAsia="仿宋"/>
          <w:sz w:val="32"/>
          <w:szCs w:val="32"/>
          <w:highlight w:val="none"/>
        </w:rPr>
        <w:t>。</w:t>
      </w:r>
    </w:p>
    <w:p w14:paraId="337CF610">
      <w:pPr>
        <w:spacing w:line="360" w:lineRule="auto"/>
        <w:ind w:firstLine="643" w:firstLineChars="200"/>
        <w:rPr>
          <w:rFonts w:ascii="Times New Roman" w:hAnsi="Times New Roman" w:eastAsia="仿宋"/>
          <w:sz w:val="32"/>
          <w:szCs w:val="32"/>
          <w:highlight w:val="none"/>
        </w:rPr>
      </w:pPr>
      <w:r>
        <w:rPr>
          <w:rFonts w:hint="eastAsia" w:ascii="Times New Roman" w:hAnsi="Times New Roman" w:eastAsia="仿宋"/>
          <w:b/>
          <w:bCs/>
          <w:sz w:val="32"/>
          <w:szCs w:val="32"/>
          <w:highlight w:val="none"/>
        </w:rPr>
        <w:t>第三十三条</w:t>
      </w:r>
      <w:r>
        <w:rPr>
          <w:rFonts w:hint="eastAsia" w:ascii="Times New Roman" w:hAnsi="Times New Roman" w:eastAsia="仿宋"/>
          <w:sz w:val="32"/>
          <w:szCs w:val="32"/>
          <w:highlight w:val="none"/>
        </w:rPr>
        <w:t xml:space="preserve"> </w:t>
      </w:r>
      <w:r>
        <w:rPr>
          <w:rFonts w:ascii="Times New Roman" w:hAnsi="Times New Roman" w:eastAsia="仿宋"/>
          <w:sz w:val="32"/>
          <w:szCs w:val="32"/>
          <w:highlight w:val="none"/>
        </w:rPr>
        <w:t>本</w:t>
      </w:r>
      <w:r>
        <w:rPr>
          <w:rFonts w:hint="eastAsia" w:ascii="Times New Roman" w:hAnsi="Times New Roman" w:eastAsia="仿宋"/>
          <w:sz w:val="32"/>
          <w:szCs w:val="32"/>
          <w:highlight w:val="none"/>
        </w:rPr>
        <w:t>《细则》</w:t>
      </w:r>
      <w:r>
        <w:rPr>
          <w:rFonts w:ascii="Times New Roman" w:hAnsi="Times New Roman" w:eastAsia="仿宋"/>
          <w:sz w:val="32"/>
          <w:szCs w:val="32"/>
          <w:highlight w:val="none"/>
        </w:rPr>
        <w:t>的解释权归</w:t>
      </w:r>
      <w:r>
        <w:rPr>
          <w:rFonts w:hint="eastAsia" w:ascii="Times New Roman" w:hAnsi="Times New Roman" w:eastAsia="仿宋"/>
          <w:sz w:val="32"/>
          <w:szCs w:val="32"/>
          <w:highlight w:val="none"/>
        </w:rPr>
        <w:t>公共管理</w:t>
      </w:r>
      <w:r>
        <w:rPr>
          <w:rFonts w:ascii="Times New Roman" w:hAnsi="Times New Roman" w:eastAsia="仿宋"/>
          <w:sz w:val="32"/>
          <w:szCs w:val="32"/>
          <w:highlight w:val="none"/>
        </w:rPr>
        <w:t>学院。</w:t>
      </w:r>
    </w:p>
    <w:p w14:paraId="07CBFF55">
      <w:pPr>
        <w:spacing w:line="360" w:lineRule="auto"/>
        <w:ind w:firstLine="640" w:firstLineChars="200"/>
        <w:rPr>
          <w:rFonts w:ascii="Times New Roman" w:hAnsi="Times New Roman" w:eastAsia="仿宋"/>
          <w:sz w:val="32"/>
          <w:szCs w:val="32"/>
          <w:highlight w:val="none"/>
        </w:rPr>
      </w:pPr>
    </w:p>
    <w:p w14:paraId="0E28DB47">
      <w:pPr>
        <w:spacing w:line="360" w:lineRule="auto"/>
        <w:jc w:val="right"/>
        <w:rPr>
          <w:rFonts w:ascii="Times New Roman" w:hAnsi="Times New Roman" w:eastAsia="仿宋"/>
          <w:b/>
          <w:sz w:val="32"/>
          <w:szCs w:val="32"/>
          <w:highlight w:val="none"/>
        </w:rPr>
      </w:pPr>
      <w:r>
        <w:rPr>
          <w:rFonts w:ascii="Times New Roman" w:hAnsi="Times New Roman" w:eastAsia="仿宋"/>
          <w:b/>
          <w:sz w:val="32"/>
          <w:szCs w:val="32"/>
          <w:highlight w:val="none"/>
        </w:rPr>
        <w:t>贵州大学</w:t>
      </w:r>
      <w:r>
        <w:rPr>
          <w:rFonts w:hint="eastAsia" w:ascii="Times New Roman" w:hAnsi="Times New Roman" w:eastAsia="仿宋"/>
          <w:b/>
          <w:sz w:val="32"/>
          <w:szCs w:val="32"/>
          <w:highlight w:val="none"/>
        </w:rPr>
        <w:t>公共管理学院</w:t>
      </w:r>
    </w:p>
    <w:p w14:paraId="38471ADA">
      <w:pPr>
        <w:spacing w:line="360" w:lineRule="auto"/>
        <w:jc w:val="right"/>
        <w:rPr>
          <w:rFonts w:ascii="仿宋_GB2312" w:hAnsi="仿宋" w:eastAsia="仿宋_GB2312" w:cs="仿宋"/>
          <w:sz w:val="32"/>
          <w:szCs w:val="32"/>
          <w:highlight w:val="none"/>
        </w:rPr>
      </w:pPr>
      <w:r>
        <w:rPr>
          <w:rFonts w:ascii="Times New Roman" w:hAnsi="Times New Roman" w:eastAsia="仿宋"/>
          <w:b/>
          <w:sz w:val="32"/>
          <w:szCs w:val="32"/>
          <w:highlight w:val="none"/>
        </w:rPr>
        <w:t>202</w:t>
      </w:r>
      <w:r>
        <w:rPr>
          <w:rFonts w:hint="eastAsia" w:ascii="Times New Roman" w:hAnsi="Times New Roman" w:eastAsia="仿宋"/>
          <w:b/>
          <w:sz w:val="32"/>
          <w:szCs w:val="32"/>
          <w:highlight w:val="none"/>
          <w:lang w:val="en-US" w:eastAsia="zh-CN"/>
        </w:rPr>
        <w:t>5</w:t>
      </w:r>
      <w:r>
        <w:rPr>
          <w:rFonts w:ascii="Times New Roman" w:hAnsi="Times New Roman" w:eastAsia="仿宋"/>
          <w:b/>
          <w:sz w:val="32"/>
          <w:szCs w:val="32"/>
          <w:highlight w:val="none"/>
        </w:rPr>
        <w:t>年</w:t>
      </w:r>
      <w:r>
        <w:rPr>
          <w:rFonts w:hint="eastAsia" w:ascii="Times New Roman" w:hAnsi="Times New Roman" w:eastAsia="仿宋"/>
          <w:b/>
          <w:sz w:val="32"/>
          <w:szCs w:val="32"/>
          <w:highlight w:val="none"/>
          <w:lang w:val="en-US" w:eastAsia="zh-CN"/>
        </w:rPr>
        <w:t>10</w:t>
      </w:r>
      <w:r>
        <w:rPr>
          <w:rFonts w:ascii="Times New Roman" w:hAnsi="Times New Roman" w:eastAsia="仿宋"/>
          <w:b/>
          <w:sz w:val="32"/>
          <w:szCs w:val="32"/>
          <w:highlight w:val="none"/>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0C0CC"/>
    <w:multiLevelType w:val="singleLevel"/>
    <w:tmpl w:val="5FF0C0CC"/>
    <w:lvl w:ilvl="0" w:tentative="0">
      <w:start w:val="2"/>
      <w:numFmt w:val="chineseCounting"/>
      <w:suff w:val="nothing"/>
      <w:lvlText w:val="（%1）"/>
      <w:lvlJc w:val="left"/>
      <w:rPr>
        <w:rFonts w:hint="eastAsia"/>
      </w:rPr>
    </w:lvl>
  </w:abstractNum>
  <w:abstractNum w:abstractNumId="1">
    <w:nsid w:val="63153BBF"/>
    <w:multiLevelType w:val="singleLevel"/>
    <w:tmpl w:val="63153BB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NGE1YjQyMTE4ZTAxZDdiZjZjN2Q4NjJmMDI3M2QifQ=="/>
  </w:docVars>
  <w:rsids>
    <w:rsidRoot w:val="3C517C14"/>
    <w:rsid w:val="0001129E"/>
    <w:rsid w:val="0001185A"/>
    <w:rsid w:val="00015EAA"/>
    <w:rsid w:val="00016519"/>
    <w:rsid w:val="0005628E"/>
    <w:rsid w:val="00064211"/>
    <w:rsid w:val="0008261E"/>
    <w:rsid w:val="0008461F"/>
    <w:rsid w:val="0009128B"/>
    <w:rsid w:val="0009288A"/>
    <w:rsid w:val="000A6E12"/>
    <w:rsid w:val="000C55F8"/>
    <w:rsid w:val="000D0626"/>
    <w:rsid w:val="000D4C68"/>
    <w:rsid w:val="000D6753"/>
    <w:rsid w:val="000E26C7"/>
    <w:rsid w:val="000E4C62"/>
    <w:rsid w:val="000F5A02"/>
    <w:rsid w:val="000F7112"/>
    <w:rsid w:val="00101380"/>
    <w:rsid w:val="001246B0"/>
    <w:rsid w:val="0012778F"/>
    <w:rsid w:val="00127851"/>
    <w:rsid w:val="001323EC"/>
    <w:rsid w:val="00134FA1"/>
    <w:rsid w:val="0015248A"/>
    <w:rsid w:val="00167E1C"/>
    <w:rsid w:val="001D6761"/>
    <w:rsid w:val="001E3E8A"/>
    <w:rsid w:val="001F4AB5"/>
    <w:rsid w:val="001F5182"/>
    <w:rsid w:val="002023B5"/>
    <w:rsid w:val="00214E77"/>
    <w:rsid w:val="002230F9"/>
    <w:rsid w:val="00245C0C"/>
    <w:rsid w:val="002551EF"/>
    <w:rsid w:val="00293D29"/>
    <w:rsid w:val="002A7822"/>
    <w:rsid w:val="002C2292"/>
    <w:rsid w:val="002D0767"/>
    <w:rsid w:val="002E0D6C"/>
    <w:rsid w:val="002E46C5"/>
    <w:rsid w:val="002F760D"/>
    <w:rsid w:val="003029BC"/>
    <w:rsid w:val="003039B5"/>
    <w:rsid w:val="0031102D"/>
    <w:rsid w:val="00312254"/>
    <w:rsid w:val="003277B2"/>
    <w:rsid w:val="00333C7F"/>
    <w:rsid w:val="00336529"/>
    <w:rsid w:val="00350E76"/>
    <w:rsid w:val="00367ACC"/>
    <w:rsid w:val="00382119"/>
    <w:rsid w:val="00391D0A"/>
    <w:rsid w:val="00394E60"/>
    <w:rsid w:val="003C0B48"/>
    <w:rsid w:val="003F1D37"/>
    <w:rsid w:val="003F449E"/>
    <w:rsid w:val="00402807"/>
    <w:rsid w:val="00405BE3"/>
    <w:rsid w:val="00432C36"/>
    <w:rsid w:val="0047455F"/>
    <w:rsid w:val="004A07DF"/>
    <w:rsid w:val="004C6BEC"/>
    <w:rsid w:val="004C7173"/>
    <w:rsid w:val="004F05B5"/>
    <w:rsid w:val="005022C6"/>
    <w:rsid w:val="00506A96"/>
    <w:rsid w:val="005225FA"/>
    <w:rsid w:val="005612A0"/>
    <w:rsid w:val="00580058"/>
    <w:rsid w:val="0058360E"/>
    <w:rsid w:val="005D20DA"/>
    <w:rsid w:val="005D78B1"/>
    <w:rsid w:val="005E1C22"/>
    <w:rsid w:val="005F4A59"/>
    <w:rsid w:val="00603EBA"/>
    <w:rsid w:val="00610D8D"/>
    <w:rsid w:val="00616840"/>
    <w:rsid w:val="00630797"/>
    <w:rsid w:val="0064060A"/>
    <w:rsid w:val="006510C7"/>
    <w:rsid w:val="00660926"/>
    <w:rsid w:val="00662582"/>
    <w:rsid w:val="006679D1"/>
    <w:rsid w:val="00683244"/>
    <w:rsid w:val="006A3A7F"/>
    <w:rsid w:val="006C3850"/>
    <w:rsid w:val="006C68B7"/>
    <w:rsid w:val="006C698F"/>
    <w:rsid w:val="006D10C7"/>
    <w:rsid w:val="006D6F20"/>
    <w:rsid w:val="006F3787"/>
    <w:rsid w:val="00716EB8"/>
    <w:rsid w:val="00727026"/>
    <w:rsid w:val="00727AF0"/>
    <w:rsid w:val="007931A3"/>
    <w:rsid w:val="0079363B"/>
    <w:rsid w:val="008117CE"/>
    <w:rsid w:val="008420F0"/>
    <w:rsid w:val="008443C3"/>
    <w:rsid w:val="008637E7"/>
    <w:rsid w:val="00881C1E"/>
    <w:rsid w:val="008979E7"/>
    <w:rsid w:val="008B5DCD"/>
    <w:rsid w:val="008B7677"/>
    <w:rsid w:val="008D5674"/>
    <w:rsid w:val="00912A91"/>
    <w:rsid w:val="0095390A"/>
    <w:rsid w:val="009541A1"/>
    <w:rsid w:val="00975AEF"/>
    <w:rsid w:val="009A0E94"/>
    <w:rsid w:val="009B0ABD"/>
    <w:rsid w:val="009B340A"/>
    <w:rsid w:val="009C31F1"/>
    <w:rsid w:val="009D1082"/>
    <w:rsid w:val="009E3CB4"/>
    <w:rsid w:val="009F4729"/>
    <w:rsid w:val="009F6974"/>
    <w:rsid w:val="00A154CB"/>
    <w:rsid w:val="00A169A0"/>
    <w:rsid w:val="00A16FC3"/>
    <w:rsid w:val="00A26C51"/>
    <w:rsid w:val="00A30010"/>
    <w:rsid w:val="00A443C7"/>
    <w:rsid w:val="00A5525B"/>
    <w:rsid w:val="00A57E64"/>
    <w:rsid w:val="00A70295"/>
    <w:rsid w:val="00A7143F"/>
    <w:rsid w:val="00AA25F8"/>
    <w:rsid w:val="00AA3098"/>
    <w:rsid w:val="00AC20F2"/>
    <w:rsid w:val="00AD635C"/>
    <w:rsid w:val="00B73067"/>
    <w:rsid w:val="00B76420"/>
    <w:rsid w:val="00B81924"/>
    <w:rsid w:val="00B96776"/>
    <w:rsid w:val="00BA4E5F"/>
    <w:rsid w:val="00BC5761"/>
    <w:rsid w:val="00BD1D04"/>
    <w:rsid w:val="00BF6833"/>
    <w:rsid w:val="00C03633"/>
    <w:rsid w:val="00C13737"/>
    <w:rsid w:val="00C14F84"/>
    <w:rsid w:val="00C3087F"/>
    <w:rsid w:val="00C41483"/>
    <w:rsid w:val="00C47B93"/>
    <w:rsid w:val="00C62EDD"/>
    <w:rsid w:val="00C64DBA"/>
    <w:rsid w:val="00C7219D"/>
    <w:rsid w:val="00C768B4"/>
    <w:rsid w:val="00C80692"/>
    <w:rsid w:val="00C85E34"/>
    <w:rsid w:val="00C87FD9"/>
    <w:rsid w:val="00C90828"/>
    <w:rsid w:val="00CA236A"/>
    <w:rsid w:val="00CA35C4"/>
    <w:rsid w:val="00CB706C"/>
    <w:rsid w:val="00CD1F08"/>
    <w:rsid w:val="00CE4C6D"/>
    <w:rsid w:val="00D118EC"/>
    <w:rsid w:val="00D26EEB"/>
    <w:rsid w:val="00D421F3"/>
    <w:rsid w:val="00D42680"/>
    <w:rsid w:val="00D50A2B"/>
    <w:rsid w:val="00D510FF"/>
    <w:rsid w:val="00D5394B"/>
    <w:rsid w:val="00D57044"/>
    <w:rsid w:val="00D873A4"/>
    <w:rsid w:val="00DC6B0E"/>
    <w:rsid w:val="00DF01C2"/>
    <w:rsid w:val="00DF4C99"/>
    <w:rsid w:val="00DF57D0"/>
    <w:rsid w:val="00E52E92"/>
    <w:rsid w:val="00E826D0"/>
    <w:rsid w:val="00E917C5"/>
    <w:rsid w:val="00EA15EB"/>
    <w:rsid w:val="00EE1DA7"/>
    <w:rsid w:val="00EF5D4A"/>
    <w:rsid w:val="00EF6668"/>
    <w:rsid w:val="00F002E2"/>
    <w:rsid w:val="00F0331A"/>
    <w:rsid w:val="00F05FF0"/>
    <w:rsid w:val="00F723FE"/>
    <w:rsid w:val="00F775C9"/>
    <w:rsid w:val="00F85524"/>
    <w:rsid w:val="00F87C08"/>
    <w:rsid w:val="00FB23CD"/>
    <w:rsid w:val="00FD7125"/>
    <w:rsid w:val="00FE761E"/>
    <w:rsid w:val="00FF2B2D"/>
    <w:rsid w:val="01C50A07"/>
    <w:rsid w:val="021D10E9"/>
    <w:rsid w:val="022F07BE"/>
    <w:rsid w:val="03350BAF"/>
    <w:rsid w:val="05A56657"/>
    <w:rsid w:val="06081B19"/>
    <w:rsid w:val="06CB4DDC"/>
    <w:rsid w:val="09C41703"/>
    <w:rsid w:val="09D378B6"/>
    <w:rsid w:val="0AA01D2E"/>
    <w:rsid w:val="0B6E1DBA"/>
    <w:rsid w:val="0C2E26DA"/>
    <w:rsid w:val="0CD77A24"/>
    <w:rsid w:val="0D9F46D5"/>
    <w:rsid w:val="0DC8408D"/>
    <w:rsid w:val="0DE14E07"/>
    <w:rsid w:val="0E4D368D"/>
    <w:rsid w:val="0E4E2779"/>
    <w:rsid w:val="0E7C58ED"/>
    <w:rsid w:val="0FE772DC"/>
    <w:rsid w:val="0FEA0C8D"/>
    <w:rsid w:val="0FFF5EE2"/>
    <w:rsid w:val="10861954"/>
    <w:rsid w:val="117E5EB5"/>
    <w:rsid w:val="12F1405F"/>
    <w:rsid w:val="14002D2E"/>
    <w:rsid w:val="14DA4F98"/>
    <w:rsid w:val="15800F31"/>
    <w:rsid w:val="17EE6410"/>
    <w:rsid w:val="184C673B"/>
    <w:rsid w:val="1A191CC9"/>
    <w:rsid w:val="1A9B7C43"/>
    <w:rsid w:val="1A9C424D"/>
    <w:rsid w:val="1AD43124"/>
    <w:rsid w:val="1B1F49AA"/>
    <w:rsid w:val="1C9E568D"/>
    <w:rsid w:val="1CBD5942"/>
    <w:rsid w:val="1D2B7521"/>
    <w:rsid w:val="21321BE8"/>
    <w:rsid w:val="21BB55FE"/>
    <w:rsid w:val="22946A32"/>
    <w:rsid w:val="22CB4EC9"/>
    <w:rsid w:val="23C74602"/>
    <w:rsid w:val="244B2423"/>
    <w:rsid w:val="24C80A62"/>
    <w:rsid w:val="27475974"/>
    <w:rsid w:val="287B5523"/>
    <w:rsid w:val="294052C5"/>
    <w:rsid w:val="29A95A48"/>
    <w:rsid w:val="29AA1E55"/>
    <w:rsid w:val="29CE019B"/>
    <w:rsid w:val="2ADA2557"/>
    <w:rsid w:val="2B691D07"/>
    <w:rsid w:val="2BB7607B"/>
    <w:rsid w:val="2C28108D"/>
    <w:rsid w:val="2CD119B8"/>
    <w:rsid w:val="2D424849"/>
    <w:rsid w:val="2FC10E6A"/>
    <w:rsid w:val="30A46132"/>
    <w:rsid w:val="30CB103E"/>
    <w:rsid w:val="30F24E44"/>
    <w:rsid w:val="31BC4DCD"/>
    <w:rsid w:val="329C3AE7"/>
    <w:rsid w:val="32E13A70"/>
    <w:rsid w:val="32FC2E9A"/>
    <w:rsid w:val="34472A71"/>
    <w:rsid w:val="347D3C45"/>
    <w:rsid w:val="34A87CCA"/>
    <w:rsid w:val="35121BCF"/>
    <w:rsid w:val="35A714C0"/>
    <w:rsid w:val="363B10E4"/>
    <w:rsid w:val="36B36B8B"/>
    <w:rsid w:val="36BD312A"/>
    <w:rsid w:val="373F0D88"/>
    <w:rsid w:val="37587D16"/>
    <w:rsid w:val="38173168"/>
    <w:rsid w:val="38532BE6"/>
    <w:rsid w:val="385A62F6"/>
    <w:rsid w:val="39833F0F"/>
    <w:rsid w:val="39F72A60"/>
    <w:rsid w:val="3AE864BB"/>
    <w:rsid w:val="3B995A80"/>
    <w:rsid w:val="3C517C14"/>
    <w:rsid w:val="3C8A60A9"/>
    <w:rsid w:val="3D902875"/>
    <w:rsid w:val="3DE5087F"/>
    <w:rsid w:val="3EC573D4"/>
    <w:rsid w:val="400D6C1E"/>
    <w:rsid w:val="402503A6"/>
    <w:rsid w:val="40793DB8"/>
    <w:rsid w:val="40A32438"/>
    <w:rsid w:val="40DE7423"/>
    <w:rsid w:val="40E07B2A"/>
    <w:rsid w:val="40E40233"/>
    <w:rsid w:val="43844DF3"/>
    <w:rsid w:val="43C07D42"/>
    <w:rsid w:val="441E4DA1"/>
    <w:rsid w:val="462127AE"/>
    <w:rsid w:val="462D340A"/>
    <w:rsid w:val="47DF6C99"/>
    <w:rsid w:val="497E0EC8"/>
    <w:rsid w:val="498521CD"/>
    <w:rsid w:val="4BA210B3"/>
    <w:rsid w:val="4CA178F5"/>
    <w:rsid w:val="4D0C0CD8"/>
    <w:rsid w:val="4D3B1E81"/>
    <w:rsid w:val="4DD34122"/>
    <w:rsid w:val="4E8D6973"/>
    <w:rsid w:val="5181340F"/>
    <w:rsid w:val="52C53BDE"/>
    <w:rsid w:val="550F625D"/>
    <w:rsid w:val="55A439DB"/>
    <w:rsid w:val="5625209A"/>
    <w:rsid w:val="56451B54"/>
    <w:rsid w:val="56FD7E86"/>
    <w:rsid w:val="57281207"/>
    <w:rsid w:val="583C19FE"/>
    <w:rsid w:val="588A5B7F"/>
    <w:rsid w:val="594F62E9"/>
    <w:rsid w:val="59BD13F5"/>
    <w:rsid w:val="59EC783B"/>
    <w:rsid w:val="5B3E409C"/>
    <w:rsid w:val="5DA20EA5"/>
    <w:rsid w:val="5F817F52"/>
    <w:rsid w:val="5FEF64A4"/>
    <w:rsid w:val="60B95EDC"/>
    <w:rsid w:val="61E43A97"/>
    <w:rsid w:val="624B3386"/>
    <w:rsid w:val="62775FD3"/>
    <w:rsid w:val="62C5711D"/>
    <w:rsid w:val="64EE6A20"/>
    <w:rsid w:val="65181CEF"/>
    <w:rsid w:val="65DA30BA"/>
    <w:rsid w:val="65DC315A"/>
    <w:rsid w:val="66463AA1"/>
    <w:rsid w:val="67454C54"/>
    <w:rsid w:val="689611D4"/>
    <w:rsid w:val="69376C88"/>
    <w:rsid w:val="695F02CC"/>
    <w:rsid w:val="6B0D15D1"/>
    <w:rsid w:val="6B817F21"/>
    <w:rsid w:val="6E002CD0"/>
    <w:rsid w:val="6EE15B07"/>
    <w:rsid w:val="6EF93A4E"/>
    <w:rsid w:val="729F6630"/>
    <w:rsid w:val="72E936DC"/>
    <w:rsid w:val="736A04A6"/>
    <w:rsid w:val="75961CF4"/>
    <w:rsid w:val="78270686"/>
    <w:rsid w:val="78366166"/>
    <w:rsid w:val="78DE3BB5"/>
    <w:rsid w:val="78FD0AF5"/>
    <w:rsid w:val="79CD3840"/>
    <w:rsid w:val="7A4B6C51"/>
    <w:rsid w:val="7BA70315"/>
    <w:rsid w:val="7C606EEA"/>
    <w:rsid w:val="7C786656"/>
    <w:rsid w:val="7C954F88"/>
    <w:rsid w:val="7EDB2D69"/>
    <w:rsid w:val="7F1A00A5"/>
    <w:rsid w:val="7F6C26F4"/>
    <w:rsid w:val="7F790711"/>
    <w:rsid w:val="7FF07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unhideWhenUsed/>
    <w:qFormat/>
    <w:uiPriority w:val="9"/>
    <w:pPr>
      <w:keepNext/>
      <w:keepLines/>
      <w:spacing w:before="240" w:after="240" w:line="415" w:lineRule="auto"/>
      <w:jc w:val="center"/>
      <w:outlineLvl w:val="1"/>
    </w:pPr>
    <w:rPr>
      <w:rFonts w:ascii="Cambria" w:hAnsi="Cambria" w:eastAsia="黑体"/>
      <w:b/>
      <w:bCs/>
      <w:sz w:val="32"/>
      <w:szCs w:val="32"/>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unhideWhenUsed/>
    <w:qFormat/>
    <w:uiPriority w:val="99"/>
    <w:pPr>
      <w:ind w:firstLine="420" w:firstLineChars="200"/>
    </w:pPr>
  </w:style>
  <w:style w:type="character" w:customStyle="1" w:styleId="10">
    <w:name w:val="NormalCharacter"/>
    <w:qFormat/>
    <w:uiPriority w:val="0"/>
    <w:rPr>
      <w:rFonts w:ascii="Times New Roman" w:hAnsi="Times New Roman" w:eastAsia="宋体"/>
    </w:r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 w:type="character" w:styleId="13">
    <w:name w:val="Placeholder Text"/>
    <w:basedOn w:val="8"/>
    <w:semiHidden/>
    <w:qFormat/>
    <w:uiPriority w:val="99"/>
    <w:rPr>
      <w:color w:val="808080"/>
    </w:rPr>
  </w:style>
  <w:style w:type="character" w:customStyle="1" w:styleId="14">
    <w:name w:val="批注框文本 Char"/>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07E114-614A-404A-810B-F3FD13157633}">
  <ds:schemaRefs/>
</ds:datastoreItem>
</file>

<file path=docProps/app.xml><?xml version="1.0" encoding="utf-8"?>
<Properties xmlns="http://schemas.openxmlformats.org/officeDocument/2006/extended-properties" xmlns:vt="http://schemas.openxmlformats.org/officeDocument/2006/docPropsVTypes">
  <Template>Normal</Template>
  <Pages>21</Pages>
  <Words>4779</Words>
  <Characters>5058</Characters>
  <Lines>65</Lines>
  <Paragraphs>18</Paragraphs>
  <TotalTime>6</TotalTime>
  <ScaleCrop>false</ScaleCrop>
  <LinksUpToDate>false</LinksUpToDate>
  <CharactersWithSpaces>5114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2021-08-05T02:44:00Z</dcterms:created>
  <dc:creator>Fiiiilterrr_</dc:creator>
  <cp:lastModifiedBy>WPS_1620977311</cp:lastModifiedBy>
  <dcterms:modified xsi:type="dcterms:W3CDTF">2025-10-10T02:40:23Z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A4775E82DA9D46B7BADE661227927106</vt:lpwstr>
  </property>
  <property fmtid="{D5CDD505-2E9C-101B-9397-08002B2CF9AE}" pid="4" name="KSOTemplateDocerSaveRecord">
    <vt:lpwstr>eyJoZGlkIjoiZTJiYjJiZWZjNWY3M2NhZGFjNmIyMTgyNmRlNTAwYzUiLCJ1c2VySWQiOiIxMjA5NjQ4NjY5In0=</vt:lpwstr>
  </property>
</Properties>
</file>